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7D" w:rsidRPr="007C15BF" w:rsidRDefault="005420E5" w:rsidP="000B1BEB">
      <w:pPr>
        <w:rPr>
          <w:b/>
        </w:rPr>
      </w:pPr>
      <w:r w:rsidRPr="007C15BF">
        <w:rPr>
          <w:b/>
        </w:rPr>
        <w:t xml:space="preserve">G8930 </w:t>
      </w:r>
      <w:r w:rsidR="00AA127D" w:rsidRPr="007C15BF">
        <w:rPr>
          <w:b/>
        </w:rPr>
        <w:t>Approaches</w:t>
      </w:r>
      <w:r w:rsidRPr="007C15BF">
        <w:rPr>
          <w:b/>
        </w:rPr>
        <w:t xml:space="preserve"> To International and Global History, Fall 2016</w:t>
      </w:r>
    </w:p>
    <w:p w:rsidR="00D86F52" w:rsidRPr="007C15BF" w:rsidRDefault="005420E5" w:rsidP="000B1BEB">
      <w:pPr>
        <w:rPr>
          <w:b/>
        </w:rPr>
      </w:pPr>
      <w:r w:rsidRPr="007C15BF">
        <w:rPr>
          <w:b/>
        </w:rPr>
        <w:t>Professor:</w:t>
      </w:r>
      <w:r w:rsidR="00AA127D" w:rsidRPr="007C15BF">
        <w:rPr>
          <w:b/>
        </w:rPr>
        <w:t xml:space="preserve"> Victoria de Grazia, Tuesday, 2:10-400</w:t>
      </w:r>
    </w:p>
    <w:p w:rsidR="005420E5" w:rsidRPr="007C15BF" w:rsidRDefault="005420E5" w:rsidP="000B1BEB">
      <w:pPr>
        <w:rPr>
          <w:b/>
        </w:rPr>
      </w:pPr>
      <w:r w:rsidRPr="007C15BF">
        <w:rPr>
          <w:b/>
        </w:rPr>
        <w:t>Office: Fayerweather 617</w:t>
      </w:r>
    </w:p>
    <w:p w:rsidR="005420E5" w:rsidRPr="007C15BF" w:rsidRDefault="005420E5" w:rsidP="000B1BEB">
      <w:pPr>
        <w:rPr>
          <w:b/>
        </w:rPr>
      </w:pPr>
      <w:r w:rsidRPr="007C15BF">
        <w:rPr>
          <w:b/>
        </w:rPr>
        <w:t>Office Hours: Monday  1:00-2:00</w:t>
      </w:r>
    </w:p>
    <w:p w:rsidR="00AA127D" w:rsidRPr="007C15BF" w:rsidRDefault="00AA127D" w:rsidP="000B1BEB">
      <w:pPr>
        <w:rPr>
          <w:sz w:val="20"/>
          <w:szCs w:val="20"/>
        </w:rPr>
      </w:pPr>
    </w:p>
    <w:p w:rsidR="00BE0072" w:rsidRPr="007C15BF" w:rsidRDefault="00DD0EED" w:rsidP="000B1BEB">
      <w:pPr>
        <w:rPr>
          <w:sz w:val="20"/>
          <w:szCs w:val="20"/>
        </w:rPr>
      </w:pPr>
      <w:r w:rsidRPr="007C15BF">
        <w:rPr>
          <w:sz w:val="20"/>
          <w:szCs w:val="20"/>
        </w:rPr>
        <w:t xml:space="preserve">This section of </w:t>
      </w:r>
      <w:r w:rsidR="00DF4772" w:rsidRPr="007C15BF">
        <w:rPr>
          <w:sz w:val="20"/>
          <w:szCs w:val="20"/>
        </w:rPr>
        <w:t>Approaches</w:t>
      </w:r>
      <w:r w:rsidRPr="007C15BF">
        <w:rPr>
          <w:sz w:val="20"/>
          <w:szCs w:val="20"/>
        </w:rPr>
        <w:t xml:space="preserve"> </w:t>
      </w:r>
      <w:r w:rsidR="00BE0072" w:rsidRPr="007C15BF">
        <w:rPr>
          <w:sz w:val="20"/>
          <w:szCs w:val="20"/>
        </w:rPr>
        <w:t xml:space="preserve">to </w:t>
      </w:r>
      <w:r w:rsidR="00DF4772" w:rsidRPr="007C15BF">
        <w:rPr>
          <w:sz w:val="20"/>
          <w:szCs w:val="20"/>
        </w:rPr>
        <w:t>I</w:t>
      </w:r>
      <w:r w:rsidR="00BE0072" w:rsidRPr="007C15BF">
        <w:rPr>
          <w:sz w:val="20"/>
          <w:szCs w:val="20"/>
        </w:rPr>
        <w:t xml:space="preserve">nternational and </w:t>
      </w:r>
      <w:r w:rsidR="00DF4772" w:rsidRPr="007C15BF">
        <w:rPr>
          <w:sz w:val="20"/>
          <w:szCs w:val="20"/>
        </w:rPr>
        <w:t>Gl</w:t>
      </w:r>
      <w:r w:rsidR="00BE0072" w:rsidRPr="007C15BF">
        <w:rPr>
          <w:sz w:val="20"/>
          <w:szCs w:val="20"/>
        </w:rPr>
        <w:t>obal history</w:t>
      </w:r>
      <w:r w:rsidR="008B6F82" w:rsidRPr="007C15BF">
        <w:rPr>
          <w:sz w:val="20"/>
          <w:szCs w:val="20"/>
        </w:rPr>
        <w:t xml:space="preserve"> has us reading and debating historical works on various </w:t>
      </w:r>
      <w:r w:rsidR="00DF4772" w:rsidRPr="007C15BF">
        <w:rPr>
          <w:sz w:val="20"/>
          <w:szCs w:val="20"/>
        </w:rPr>
        <w:t>levels</w:t>
      </w:r>
      <w:r w:rsidR="005420E5" w:rsidRPr="007C15BF">
        <w:rPr>
          <w:sz w:val="20"/>
          <w:szCs w:val="20"/>
        </w:rPr>
        <w:t>.</w:t>
      </w:r>
      <w:r w:rsidR="008B6F82" w:rsidRPr="007C15BF">
        <w:rPr>
          <w:sz w:val="20"/>
          <w:szCs w:val="20"/>
        </w:rPr>
        <w:t xml:space="preserve"> 1</w:t>
      </w:r>
      <w:r w:rsidR="00BE0072" w:rsidRPr="007C15BF">
        <w:rPr>
          <w:sz w:val="20"/>
          <w:szCs w:val="20"/>
        </w:rPr>
        <w:t>.</w:t>
      </w:r>
      <w:r w:rsidRPr="007C15BF">
        <w:rPr>
          <w:sz w:val="20"/>
          <w:szCs w:val="20"/>
        </w:rPr>
        <w:t xml:space="preserve"> To define what historians mean by </w:t>
      </w:r>
      <w:r w:rsidR="00DF4772" w:rsidRPr="007C15BF">
        <w:rPr>
          <w:sz w:val="20"/>
          <w:szCs w:val="20"/>
        </w:rPr>
        <w:t xml:space="preserve">terms related to these approaches, such as </w:t>
      </w:r>
      <w:r w:rsidRPr="007C15BF">
        <w:rPr>
          <w:sz w:val="20"/>
          <w:szCs w:val="20"/>
        </w:rPr>
        <w:t xml:space="preserve">globalization, the </w:t>
      </w:r>
      <w:r w:rsidR="00BE0072" w:rsidRPr="007C15BF">
        <w:rPr>
          <w:sz w:val="20"/>
          <w:szCs w:val="20"/>
        </w:rPr>
        <w:t>global</w:t>
      </w:r>
      <w:r w:rsidRPr="007C15BF">
        <w:rPr>
          <w:sz w:val="20"/>
          <w:szCs w:val="20"/>
        </w:rPr>
        <w:t>,</w:t>
      </w:r>
      <w:r w:rsidR="00BE0072" w:rsidRPr="007C15BF">
        <w:rPr>
          <w:sz w:val="20"/>
          <w:szCs w:val="20"/>
        </w:rPr>
        <w:t xml:space="preserve"> </w:t>
      </w:r>
      <w:r w:rsidR="00DF4772" w:rsidRPr="007C15BF">
        <w:rPr>
          <w:sz w:val="20"/>
          <w:szCs w:val="20"/>
        </w:rPr>
        <w:t xml:space="preserve">international order, and international relations </w:t>
      </w:r>
      <w:r w:rsidR="0016509C" w:rsidRPr="007C15BF">
        <w:rPr>
          <w:sz w:val="20"/>
          <w:szCs w:val="20"/>
        </w:rPr>
        <w:t xml:space="preserve">2. To understand </w:t>
      </w:r>
      <w:r w:rsidR="00DF4772" w:rsidRPr="007C15BF">
        <w:rPr>
          <w:sz w:val="20"/>
          <w:szCs w:val="20"/>
        </w:rPr>
        <w:t xml:space="preserve">the various </w:t>
      </w:r>
      <w:r w:rsidR="0016509C" w:rsidRPr="007C15BF">
        <w:rPr>
          <w:sz w:val="20"/>
          <w:szCs w:val="20"/>
        </w:rPr>
        <w:t xml:space="preserve">theoretical assumptions about the workings of power, violence, </w:t>
      </w:r>
      <w:r w:rsidR="005420E5" w:rsidRPr="007C15BF">
        <w:rPr>
          <w:sz w:val="20"/>
          <w:szCs w:val="20"/>
        </w:rPr>
        <w:t xml:space="preserve">space, </w:t>
      </w:r>
      <w:r w:rsidR="0016509C" w:rsidRPr="007C15BF">
        <w:rPr>
          <w:sz w:val="20"/>
          <w:szCs w:val="20"/>
        </w:rPr>
        <w:t xml:space="preserve">and </w:t>
      </w:r>
      <w:r w:rsidR="00DF4772" w:rsidRPr="007C15BF">
        <w:rPr>
          <w:sz w:val="20"/>
          <w:szCs w:val="20"/>
        </w:rPr>
        <w:t>change</w:t>
      </w:r>
      <w:r w:rsidR="005420E5" w:rsidRPr="007C15BF">
        <w:rPr>
          <w:sz w:val="20"/>
          <w:szCs w:val="20"/>
        </w:rPr>
        <w:t xml:space="preserve"> </w:t>
      </w:r>
      <w:r w:rsidR="00DF4772" w:rsidRPr="007C15BF">
        <w:rPr>
          <w:sz w:val="20"/>
          <w:szCs w:val="20"/>
        </w:rPr>
        <w:t>that</w:t>
      </w:r>
      <w:r w:rsidR="0016509C" w:rsidRPr="007C15BF">
        <w:rPr>
          <w:sz w:val="20"/>
          <w:szCs w:val="20"/>
        </w:rPr>
        <w:t xml:space="preserve"> underlie </w:t>
      </w:r>
      <w:r w:rsidR="00DF4772" w:rsidRPr="007C15BF">
        <w:rPr>
          <w:sz w:val="20"/>
          <w:szCs w:val="20"/>
        </w:rPr>
        <w:t xml:space="preserve">these </w:t>
      </w:r>
      <w:r w:rsidR="0016509C" w:rsidRPr="007C15BF">
        <w:rPr>
          <w:sz w:val="20"/>
          <w:szCs w:val="20"/>
        </w:rPr>
        <w:t>approaches</w:t>
      </w:r>
      <w:r w:rsidR="00DF4772" w:rsidRPr="007C15BF">
        <w:rPr>
          <w:sz w:val="20"/>
          <w:szCs w:val="20"/>
        </w:rPr>
        <w:t xml:space="preserve">, together with the Eurocentric, state-, and regionally-bounded perspectives against which they have been arguing </w:t>
      </w:r>
      <w:r w:rsidR="0016509C" w:rsidRPr="007C15BF">
        <w:rPr>
          <w:sz w:val="20"/>
          <w:szCs w:val="20"/>
        </w:rPr>
        <w:t>3</w:t>
      </w:r>
      <w:r w:rsidR="00DF4772" w:rsidRPr="007C15BF">
        <w:rPr>
          <w:sz w:val="20"/>
          <w:szCs w:val="20"/>
        </w:rPr>
        <w:t>.</w:t>
      </w:r>
      <w:r w:rsidR="0016509C" w:rsidRPr="007C15BF">
        <w:rPr>
          <w:sz w:val="20"/>
          <w:szCs w:val="20"/>
        </w:rPr>
        <w:t xml:space="preserve"> To study mega</w:t>
      </w:r>
      <w:r w:rsidR="00DF4772" w:rsidRPr="007C15BF">
        <w:rPr>
          <w:sz w:val="20"/>
          <w:szCs w:val="20"/>
        </w:rPr>
        <w:t>-</w:t>
      </w:r>
      <w:r w:rsidR="0016509C" w:rsidRPr="007C15BF">
        <w:rPr>
          <w:sz w:val="20"/>
          <w:szCs w:val="20"/>
        </w:rPr>
        <w:t xml:space="preserve"> and micro</w:t>
      </w:r>
      <w:r w:rsidR="00DF4772" w:rsidRPr="007C15BF">
        <w:rPr>
          <w:sz w:val="20"/>
          <w:szCs w:val="20"/>
        </w:rPr>
        <w:t>-</w:t>
      </w:r>
      <w:r w:rsidR="0016509C" w:rsidRPr="007C15BF">
        <w:rPr>
          <w:sz w:val="20"/>
          <w:szCs w:val="20"/>
        </w:rPr>
        <w:t xml:space="preserve"> forces, from capitalism, war, and gender to empires, states, and the local which shape </w:t>
      </w:r>
      <w:r w:rsidR="00DF4772" w:rsidRPr="007C15BF">
        <w:rPr>
          <w:sz w:val="20"/>
          <w:szCs w:val="20"/>
        </w:rPr>
        <w:t>the writ</w:t>
      </w:r>
      <w:r w:rsidR="005420E5" w:rsidRPr="007C15BF">
        <w:rPr>
          <w:sz w:val="20"/>
          <w:szCs w:val="20"/>
        </w:rPr>
        <w:t xml:space="preserve">ing </w:t>
      </w:r>
      <w:r w:rsidR="00DF4772" w:rsidRPr="007C15BF">
        <w:rPr>
          <w:sz w:val="20"/>
          <w:szCs w:val="20"/>
        </w:rPr>
        <w:t xml:space="preserve">of global and </w:t>
      </w:r>
      <w:r w:rsidR="0016509C" w:rsidRPr="007C15BF">
        <w:rPr>
          <w:sz w:val="20"/>
          <w:szCs w:val="20"/>
        </w:rPr>
        <w:t>international histories 4</w:t>
      </w:r>
      <w:r w:rsidR="00DF4772" w:rsidRPr="007C15BF">
        <w:rPr>
          <w:sz w:val="20"/>
          <w:szCs w:val="20"/>
        </w:rPr>
        <w:t>. To</w:t>
      </w:r>
      <w:r w:rsidR="0016509C" w:rsidRPr="007C15BF">
        <w:rPr>
          <w:sz w:val="20"/>
          <w:szCs w:val="20"/>
        </w:rPr>
        <w:t xml:space="preserve"> </w:t>
      </w:r>
      <w:r w:rsidR="00DF4772" w:rsidRPr="007C15BF">
        <w:rPr>
          <w:sz w:val="20"/>
          <w:szCs w:val="20"/>
        </w:rPr>
        <w:t>read recent i</w:t>
      </w:r>
      <w:r w:rsidR="001347B6" w:rsidRPr="007C15BF">
        <w:rPr>
          <w:sz w:val="20"/>
          <w:szCs w:val="20"/>
        </w:rPr>
        <w:t xml:space="preserve">nternational/global/cross-national histories which address important contemporary issues, specifically, international </w:t>
      </w:r>
      <w:r w:rsidR="009F78F3" w:rsidRPr="007C15BF">
        <w:rPr>
          <w:sz w:val="20"/>
          <w:szCs w:val="20"/>
        </w:rPr>
        <w:t>cultural power</w:t>
      </w:r>
      <w:r w:rsidR="00DF4772" w:rsidRPr="007C15BF">
        <w:rPr>
          <w:sz w:val="20"/>
          <w:szCs w:val="20"/>
        </w:rPr>
        <w:t>, alternative notions of global order</w:t>
      </w:r>
      <w:r w:rsidR="001347B6" w:rsidRPr="007C15BF">
        <w:rPr>
          <w:sz w:val="20"/>
          <w:szCs w:val="20"/>
        </w:rPr>
        <w:t>,</w:t>
      </w:r>
      <w:r w:rsidR="00DF4772" w:rsidRPr="007C15BF">
        <w:rPr>
          <w:sz w:val="20"/>
          <w:szCs w:val="20"/>
        </w:rPr>
        <w:t xml:space="preserve"> human</w:t>
      </w:r>
      <w:r w:rsidR="0016509C" w:rsidRPr="007C15BF">
        <w:rPr>
          <w:sz w:val="20"/>
          <w:szCs w:val="20"/>
        </w:rPr>
        <w:t xml:space="preserve"> rights</w:t>
      </w:r>
      <w:r w:rsidR="001347B6" w:rsidRPr="007C15BF">
        <w:rPr>
          <w:sz w:val="20"/>
          <w:szCs w:val="20"/>
        </w:rPr>
        <w:t xml:space="preserve">, and migrations. </w:t>
      </w:r>
      <w:r w:rsidR="0016509C" w:rsidRPr="007C15BF">
        <w:rPr>
          <w:sz w:val="20"/>
          <w:szCs w:val="20"/>
        </w:rPr>
        <w:t xml:space="preserve"> </w:t>
      </w:r>
    </w:p>
    <w:p w:rsidR="00BE0072" w:rsidRPr="007C15BF" w:rsidRDefault="00BE0072" w:rsidP="000B1BEB">
      <w:pPr>
        <w:rPr>
          <w:sz w:val="20"/>
          <w:szCs w:val="20"/>
        </w:rPr>
      </w:pPr>
    </w:p>
    <w:p w:rsidR="000603C4" w:rsidRPr="007C15BF" w:rsidRDefault="0016509C" w:rsidP="000603C4">
      <w:pPr>
        <w:rPr>
          <w:sz w:val="20"/>
          <w:szCs w:val="20"/>
        </w:rPr>
      </w:pPr>
      <w:r w:rsidRPr="007C15BF">
        <w:rPr>
          <w:sz w:val="20"/>
          <w:szCs w:val="20"/>
        </w:rPr>
        <w:t xml:space="preserve">In addition to the </w:t>
      </w:r>
      <w:r w:rsidR="000603C4" w:rsidRPr="007C15BF">
        <w:rPr>
          <w:sz w:val="20"/>
          <w:szCs w:val="20"/>
        </w:rPr>
        <w:t xml:space="preserve">weekly </w:t>
      </w:r>
      <w:r w:rsidRPr="007C15BF">
        <w:rPr>
          <w:sz w:val="20"/>
          <w:szCs w:val="20"/>
        </w:rPr>
        <w:t xml:space="preserve">reading, class discussions, and written </w:t>
      </w:r>
      <w:r w:rsidR="00DF4772" w:rsidRPr="007C15BF">
        <w:rPr>
          <w:sz w:val="20"/>
          <w:szCs w:val="20"/>
        </w:rPr>
        <w:t xml:space="preserve">assignments </w:t>
      </w:r>
      <w:r w:rsidRPr="007C15BF">
        <w:rPr>
          <w:sz w:val="20"/>
          <w:szCs w:val="20"/>
        </w:rPr>
        <w:t xml:space="preserve"> we wi</w:t>
      </w:r>
      <w:r w:rsidR="000603C4" w:rsidRPr="007C15BF">
        <w:rPr>
          <w:sz w:val="20"/>
          <w:szCs w:val="20"/>
        </w:rPr>
        <w:t xml:space="preserve">ll have </w:t>
      </w:r>
      <w:r w:rsidR="00BA3AC5">
        <w:rPr>
          <w:sz w:val="20"/>
          <w:szCs w:val="20"/>
        </w:rPr>
        <w:t xml:space="preserve"> four</w:t>
      </w:r>
      <w:r w:rsidR="000603C4" w:rsidRPr="007C15BF">
        <w:rPr>
          <w:sz w:val="20"/>
          <w:szCs w:val="20"/>
        </w:rPr>
        <w:t xml:space="preserve"> joint sessions with faculty to discuss their recent research projects</w:t>
      </w:r>
      <w:r w:rsidR="001347B6" w:rsidRPr="007C15BF">
        <w:rPr>
          <w:sz w:val="20"/>
          <w:szCs w:val="20"/>
        </w:rPr>
        <w:t xml:space="preserve"> and publications. </w:t>
      </w:r>
      <w:r w:rsidR="000603C4" w:rsidRPr="007C15BF">
        <w:rPr>
          <w:sz w:val="20"/>
          <w:szCs w:val="20"/>
        </w:rPr>
        <w:t xml:space="preserve"> </w:t>
      </w:r>
    </w:p>
    <w:p w:rsidR="001347B6" w:rsidRPr="007C15BF" w:rsidRDefault="001347B6" w:rsidP="000603C4">
      <w:pPr>
        <w:rPr>
          <w:sz w:val="20"/>
          <w:szCs w:val="20"/>
        </w:rPr>
      </w:pPr>
    </w:p>
    <w:p w:rsidR="006B4139" w:rsidRDefault="00BA3AC5" w:rsidP="000B1BEB">
      <w:pPr>
        <w:rPr>
          <w:sz w:val="20"/>
          <w:szCs w:val="20"/>
        </w:rPr>
      </w:pPr>
      <w:r>
        <w:rPr>
          <w:sz w:val="20"/>
          <w:szCs w:val="20"/>
        </w:rPr>
        <w:t xml:space="preserve"> Lien-Hang Nguyen,  Ben Martin</w:t>
      </w:r>
      <w:r w:rsidRPr="007C15BF">
        <w:rPr>
          <w:b/>
          <w:sz w:val="20"/>
          <w:szCs w:val="20"/>
        </w:rPr>
        <w:t xml:space="preserve"> </w:t>
      </w:r>
      <w:r w:rsidR="006B4139" w:rsidRPr="007C15BF">
        <w:rPr>
          <w:sz w:val="20"/>
          <w:szCs w:val="20"/>
        </w:rPr>
        <w:t>S</w:t>
      </w:r>
      <w:r w:rsidR="005420E5" w:rsidRPr="007C15BF">
        <w:rPr>
          <w:sz w:val="20"/>
          <w:szCs w:val="20"/>
        </w:rPr>
        <w:t xml:space="preserve">usan Pedersen, </w:t>
      </w:r>
      <w:r w:rsidR="00DF4772" w:rsidRPr="007C15BF">
        <w:rPr>
          <w:sz w:val="20"/>
          <w:szCs w:val="20"/>
        </w:rPr>
        <w:t>Mae Ngai</w:t>
      </w:r>
      <w:r>
        <w:rPr>
          <w:sz w:val="20"/>
          <w:szCs w:val="20"/>
        </w:rPr>
        <w:t>, exact dates to be set</w:t>
      </w:r>
    </w:p>
    <w:p w:rsidR="00BA3AC5" w:rsidRPr="007C15BF" w:rsidRDefault="00BA3AC5" w:rsidP="000B1BEB">
      <w:pPr>
        <w:rPr>
          <w:sz w:val="20"/>
          <w:szCs w:val="20"/>
        </w:rPr>
      </w:pPr>
    </w:p>
    <w:p w:rsidR="005E0141" w:rsidRPr="007C15BF" w:rsidRDefault="000B1BEB" w:rsidP="000B1BEB">
      <w:pPr>
        <w:rPr>
          <w:sz w:val="20"/>
          <w:szCs w:val="20"/>
        </w:rPr>
      </w:pPr>
      <w:r w:rsidRPr="007C15BF">
        <w:rPr>
          <w:b/>
          <w:sz w:val="20"/>
          <w:szCs w:val="20"/>
        </w:rPr>
        <w:t>Class Prep</w:t>
      </w:r>
      <w:r w:rsidR="001347B6" w:rsidRPr="007C15BF">
        <w:rPr>
          <w:b/>
          <w:sz w:val="20"/>
          <w:szCs w:val="20"/>
        </w:rPr>
        <w:t>a</w:t>
      </w:r>
      <w:r w:rsidRPr="007C15BF">
        <w:rPr>
          <w:b/>
          <w:sz w:val="20"/>
          <w:szCs w:val="20"/>
        </w:rPr>
        <w:t>ration</w:t>
      </w:r>
      <w:r w:rsidRPr="007C15BF">
        <w:rPr>
          <w:sz w:val="20"/>
          <w:szCs w:val="20"/>
        </w:rPr>
        <w:t>:</w:t>
      </w:r>
    </w:p>
    <w:p w:rsidR="0051042C" w:rsidRPr="007C15BF" w:rsidRDefault="001347B6" w:rsidP="0051042C">
      <w:pPr>
        <w:rPr>
          <w:sz w:val="20"/>
          <w:szCs w:val="20"/>
        </w:rPr>
      </w:pPr>
      <w:r w:rsidRPr="007C15BF">
        <w:rPr>
          <w:sz w:val="20"/>
          <w:szCs w:val="20"/>
        </w:rPr>
        <w:t xml:space="preserve">Everybody does the class reading for the week and </w:t>
      </w:r>
      <w:r w:rsidR="005420E5" w:rsidRPr="007C15BF">
        <w:rPr>
          <w:sz w:val="20"/>
          <w:szCs w:val="20"/>
        </w:rPr>
        <w:t>we use the class time to discuss them.</w:t>
      </w:r>
      <w:r w:rsidR="0051042C" w:rsidRPr="007C15BF">
        <w:rPr>
          <w:sz w:val="20"/>
          <w:szCs w:val="20"/>
        </w:rPr>
        <w:t xml:space="preserve"> Readings marked * are available in the Graduate Reading Room, marked CW are on Courseworks, and marked # have been ordered at Book Culture at 112 and Broadway </w:t>
      </w:r>
    </w:p>
    <w:p w:rsidR="0051042C" w:rsidRPr="007C15BF" w:rsidRDefault="0051042C" w:rsidP="0051042C">
      <w:pPr>
        <w:pStyle w:val="ListParagraph"/>
        <w:rPr>
          <w:sz w:val="20"/>
          <w:szCs w:val="20"/>
        </w:rPr>
      </w:pPr>
    </w:p>
    <w:p w:rsidR="0051042C" w:rsidRPr="007C15BF" w:rsidRDefault="001347B6" w:rsidP="0051042C">
      <w:pPr>
        <w:rPr>
          <w:sz w:val="20"/>
          <w:szCs w:val="20"/>
        </w:rPr>
      </w:pPr>
      <w:r w:rsidRPr="007C15BF">
        <w:rPr>
          <w:sz w:val="20"/>
          <w:szCs w:val="20"/>
        </w:rPr>
        <w:t xml:space="preserve">To prepare for </w:t>
      </w:r>
      <w:r w:rsidR="0051042C" w:rsidRPr="007C15BF">
        <w:rPr>
          <w:sz w:val="20"/>
          <w:szCs w:val="20"/>
        </w:rPr>
        <w:t>class discussion</w:t>
      </w:r>
      <w:r w:rsidRPr="007C15BF">
        <w:rPr>
          <w:sz w:val="20"/>
          <w:szCs w:val="20"/>
        </w:rPr>
        <w:t>, you will want to go to the Courseworks discussion board, where you will see a brief list of themes and problems that one (or two) of you will have posted by the Friday</w:t>
      </w:r>
      <w:r w:rsidR="005420E5" w:rsidRPr="007C15BF">
        <w:rPr>
          <w:sz w:val="20"/>
          <w:szCs w:val="20"/>
        </w:rPr>
        <w:t>,</w:t>
      </w:r>
      <w:r w:rsidRPr="007C15BF">
        <w:rPr>
          <w:sz w:val="20"/>
          <w:szCs w:val="20"/>
        </w:rPr>
        <w:t xml:space="preserve"> 8 PM of the week before. After doing the reading, </w:t>
      </w:r>
      <w:r w:rsidR="005420E5" w:rsidRPr="007C15BF">
        <w:rPr>
          <w:sz w:val="20"/>
          <w:szCs w:val="20"/>
        </w:rPr>
        <w:t xml:space="preserve"> </w:t>
      </w:r>
      <w:r w:rsidRPr="007C15BF">
        <w:rPr>
          <w:sz w:val="20"/>
          <w:szCs w:val="20"/>
        </w:rPr>
        <w:t xml:space="preserve">you will want to frame a paragraph or so of </w:t>
      </w:r>
      <w:r w:rsidR="005420E5" w:rsidRPr="007C15BF">
        <w:rPr>
          <w:sz w:val="20"/>
          <w:szCs w:val="20"/>
        </w:rPr>
        <w:t xml:space="preserve">comment or questions </w:t>
      </w:r>
      <w:r w:rsidR="000B1BEB" w:rsidRPr="007C15BF">
        <w:rPr>
          <w:sz w:val="20"/>
          <w:szCs w:val="20"/>
        </w:rPr>
        <w:t>on the major issues present within the assigned texts</w:t>
      </w:r>
      <w:r w:rsidR="005420E5" w:rsidRPr="007C15BF">
        <w:rPr>
          <w:sz w:val="20"/>
          <w:szCs w:val="20"/>
        </w:rPr>
        <w:t xml:space="preserve"> and</w:t>
      </w:r>
      <w:r w:rsidR="005E0141" w:rsidRPr="007C15BF">
        <w:rPr>
          <w:sz w:val="20"/>
          <w:szCs w:val="20"/>
        </w:rPr>
        <w:t xml:space="preserve">/or </w:t>
      </w:r>
      <w:r w:rsidR="005420E5" w:rsidRPr="007C15BF">
        <w:rPr>
          <w:sz w:val="20"/>
          <w:szCs w:val="20"/>
        </w:rPr>
        <w:t>provoked by  the c</w:t>
      </w:r>
      <w:r w:rsidR="005E0141" w:rsidRPr="007C15BF">
        <w:rPr>
          <w:sz w:val="20"/>
          <w:szCs w:val="20"/>
        </w:rPr>
        <w:t>lass presenters</w:t>
      </w:r>
      <w:r w:rsidR="005420E5" w:rsidRPr="007C15BF">
        <w:rPr>
          <w:sz w:val="20"/>
          <w:szCs w:val="20"/>
        </w:rPr>
        <w:t>’</w:t>
      </w:r>
      <w:r w:rsidR="005E0141" w:rsidRPr="007C15BF">
        <w:rPr>
          <w:sz w:val="20"/>
          <w:szCs w:val="20"/>
        </w:rPr>
        <w:t xml:space="preserve"> questions.</w:t>
      </w:r>
      <w:r w:rsidR="005420E5" w:rsidRPr="007C15BF">
        <w:rPr>
          <w:sz w:val="20"/>
          <w:szCs w:val="20"/>
        </w:rPr>
        <w:t xml:space="preserve"> Your comments must</w:t>
      </w:r>
      <w:r w:rsidRPr="007C15BF">
        <w:rPr>
          <w:sz w:val="20"/>
          <w:szCs w:val="20"/>
        </w:rPr>
        <w:t xml:space="preserve"> be submitted by 9:00 AM on Tuesday</w:t>
      </w:r>
      <w:r w:rsidR="005420E5" w:rsidRPr="007C15BF">
        <w:rPr>
          <w:sz w:val="20"/>
          <w:szCs w:val="20"/>
        </w:rPr>
        <w:t xml:space="preserve"> so that everybody can read them before class at 4:00 PM.  </w:t>
      </w:r>
    </w:p>
    <w:p w:rsidR="0051042C" w:rsidRPr="007C15BF" w:rsidRDefault="0051042C" w:rsidP="0051042C">
      <w:pPr>
        <w:pStyle w:val="ListParagraph"/>
        <w:rPr>
          <w:sz w:val="20"/>
          <w:szCs w:val="20"/>
        </w:rPr>
      </w:pPr>
    </w:p>
    <w:p w:rsidR="000B1BEB" w:rsidRPr="007C15BF" w:rsidRDefault="000B1BEB" w:rsidP="0051042C">
      <w:pPr>
        <w:rPr>
          <w:sz w:val="20"/>
          <w:szCs w:val="20"/>
        </w:rPr>
      </w:pPr>
      <w:r w:rsidRPr="007C15BF">
        <w:rPr>
          <w:sz w:val="20"/>
          <w:szCs w:val="20"/>
        </w:rPr>
        <w:t>Each student is expected to lead at least one of the meetings starting from Week</w:t>
      </w:r>
      <w:r w:rsidR="005E0141" w:rsidRPr="007C15BF">
        <w:rPr>
          <w:sz w:val="20"/>
          <w:szCs w:val="20"/>
        </w:rPr>
        <w:t xml:space="preserve"> </w:t>
      </w:r>
      <w:r w:rsidR="001347B6" w:rsidRPr="007C15BF">
        <w:rPr>
          <w:sz w:val="20"/>
          <w:szCs w:val="20"/>
        </w:rPr>
        <w:t>2</w:t>
      </w:r>
      <w:r w:rsidRPr="007C15BF">
        <w:rPr>
          <w:sz w:val="20"/>
          <w:szCs w:val="20"/>
        </w:rPr>
        <w:t xml:space="preserve"> You ar</w:t>
      </w:r>
      <w:r w:rsidR="005E0141" w:rsidRPr="007C15BF">
        <w:rPr>
          <w:sz w:val="20"/>
          <w:szCs w:val="20"/>
        </w:rPr>
        <w:t xml:space="preserve">e asked to post to Courseworks </w:t>
      </w:r>
      <w:r w:rsidRPr="007C15BF">
        <w:rPr>
          <w:sz w:val="20"/>
          <w:szCs w:val="20"/>
        </w:rPr>
        <w:t xml:space="preserve">by </w:t>
      </w:r>
      <w:r w:rsidR="00BA3AC5">
        <w:rPr>
          <w:sz w:val="20"/>
          <w:szCs w:val="20"/>
        </w:rPr>
        <w:t>Sunday at</w:t>
      </w:r>
      <w:r w:rsidR="005E0141" w:rsidRPr="007C15BF">
        <w:rPr>
          <w:sz w:val="20"/>
          <w:szCs w:val="20"/>
        </w:rPr>
        <w:t xml:space="preserve"> </w:t>
      </w:r>
      <w:r w:rsidR="001347B6" w:rsidRPr="007C15BF">
        <w:rPr>
          <w:sz w:val="20"/>
          <w:szCs w:val="20"/>
        </w:rPr>
        <w:t>8 PM</w:t>
      </w:r>
      <w:r w:rsidRPr="007C15BF">
        <w:rPr>
          <w:sz w:val="20"/>
          <w:szCs w:val="20"/>
        </w:rPr>
        <w:t xml:space="preserve"> </w:t>
      </w:r>
      <w:r w:rsidR="005420E5" w:rsidRPr="007C15BF">
        <w:rPr>
          <w:sz w:val="20"/>
          <w:szCs w:val="20"/>
        </w:rPr>
        <w:t xml:space="preserve">three or so </w:t>
      </w:r>
      <w:r w:rsidRPr="007C15BF">
        <w:rPr>
          <w:sz w:val="20"/>
          <w:szCs w:val="20"/>
        </w:rPr>
        <w:t xml:space="preserve">themes and problems </w:t>
      </w:r>
      <w:r w:rsidR="005420E5" w:rsidRPr="007C15BF">
        <w:rPr>
          <w:sz w:val="20"/>
          <w:szCs w:val="20"/>
        </w:rPr>
        <w:t xml:space="preserve">to lead off the discussion </w:t>
      </w:r>
      <w:r w:rsidR="0051042C" w:rsidRPr="007C15BF">
        <w:rPr>
          <w:sz w:val="20"/>
          <w:szCs w:val="20"/>
        </w:rPr>
        <w:t>for the Tuesday class.</w:t>
      </w:r>
      <w:r w:rsidRPr="007C15BF">
        <w:rPr>
          <w:sz w:val="20"/>
          <w:szCs w:val="20"/>
        </w:rPr>
        <w:t xml:space="preserve"> You will </w:t>
      </w:r>
      <w:r w:rsidR="001347B6" w:rsidRPr="007C15BF">
        <w:rPr>
          <w:sz w:val="20"/>
          <w:szCs w:val="20"/>
        </w:rPr>
        <w:t>want to meet with the Instructor, say, Wednesday</w:t>
      </w:r>
      <w:r w:rsidR="0051042C" w:rsidRPr="007C15BF">
        <w:rPr>
          <w:sz w:val="20"/>
          <w:szCs w:val="20"/>
        </w:rPr>
        <w:t xml:space="preserve"> </w:t>
      </w:r>
      <w:r w:rsidR="001347B6" w:rsidRPr="007C15BF">
        <w:rPr>
          <w:sz w:val="20"/>
          <w:szCs w:val="20"/>
        </w:rPr>
        <w:t xml:space="preserve">before that Friday, to discuss any issues related to the readings and </w:t>
      </w:r>
      <w:r w:rsidR="0051042C" w:rsidRPr="007C15BF">
        <w:rPr>
          <w:sz w:val="20"/>
          <w:szCs w:val="20"/>
        </w:rPr>
        <w:t xml:space="preserve">organizing the class. </w:t>
      </w:r>
    </w:p>
    <w:p w:rsidR="003B6806" w:rsidRPr="007C15BF" w:rsidRDefault="003B6806" w:rsidP="00366230">
      <w:pPr>
        <w:rPr>
          <w:color w:val="000000"/>
          <w:sz w:val="20"/>
          <w:szCs w:val="20"/>
        </w:rPr>
      </w:pPr>
    </w:p>
    <w:p w:rsidR="0051042C" w:rsidRPr="007C15BF" w:rsidRDefault="0051042C" w:rsidP="00366230">
      <w:pPr>
        <w:rPr>
          <w:b/>
          <w:color w:val="000000"/>
          <w:sz w:val="20"/>
          <w:szCs w:val="20"/>
        </w:rPr>
      </w:pPr>
      <w:r w:rsidRPr="007C15BF">
        <w:rPr>
          <w:b/>
          <w:color w:val="000000"/>
          <w:sz w:val="20"/>
          <w:szCs w:val="20"/>
        </w:rPr>
        <w:t>Written Assignments</w:t>
      </w:r>
    </w:p>
    <w:p w:rsidR="000B1BEB" w:rsidRPr="007C15BF" w:rsidRDefault="0051042C" w:rsidP="00366230">
      <w:pPr>
        <w:rPr>
          <w:color w:val="000000"/>
          <w:sz w:val="20"/>
          <w:szCs w:val="20"/>
        </w:rPr>
      </w:pPr>
      <w:r w:rsidRPr="007C15BF">
        <w:rPr>
          <w:color w:val="000000"/>
          <w:sz w:val="20"/>
          <w:szCs w:val="20"/>
        </w:rPr>
        <w:t>1.</w:t>
      </w:r>
      <w:r w:rsidR="001347B6" w:rsidRPr="007C15BF">
        <w:rPr>
          <w:color w:val="000000"/>
          <w:sz w:val="20"/>
          <w:szCs w:val="20"/>
        </w:rPr>
        <w:t xml:space="preserve"> </w:t>
      </w:r>
      <w:r w:rsidR="00704747" w:rsidRPr="007C15BF">
        <w:rPr>
          <w:color w:val="000000"/>
          <w:sz w:val="20"/>
          <w:szCs w:val="20"/>
        </w:rPr>
        <w:t>3 page,</w:t>
      </w:r>
      <w:r w:rsidR="005E0141" w:rsidRPr="007C15BF">
        <w:rPr>
          <w:color w:val="000000"/>
          <w:sz w:val="20"/>
          <w:szCs w:val="20"/>
        </w:rPr>
        <w:t xml:space="preserve"> </w:t>
      </w:r>
      <w:r w:rsidR="00704747" w:rsidRPr="007C15BF">
        <w:rPr>
          <w:color w:val="000000"/>
          <w:sz w:val="20"/>
          <w:szCs w:val="20"/>
        </w:rPr>
        <w:t xml:space="preserve">750 </w:t>
      </w:r>
      <w:r w:rsidR="00AA127D" w:rsidRPr="007C15BF">
        <w:rPr>
          <w:color w:val="000000"/>
          <w:sz w:val="20"/>
          <w:szCs w:val="20"/>
        </w:rPr>
        <w:t xml:space="preserve"> </w:t>
      </w:r>
      <w:r w:rsidR="00704747" w:rsidRPr="007C15BF">
        <w:rPr>
          <w:color w:val="000000"/>
          <w:sz w:val="20"/>
          <w:szCs w:val="20"/>
        </w:rPr>
        <w:t>word book review</w:t>
      </w:r>
      <w:r w:rsidRPr="007C15BF">
        <w:rPr>
          <w:color w:val="000000"/>
          <w:sz w:val="20"/>
          <w:szCs w:val="20"/>
        </w:rPr>
        <w:t xml:space="preserve"> of a book of your choice (or from the syllabus) </w:t>
      </w:r>
      <w:r w:rsidR="001347B6" w:rsidRPr="007C15BF">
        <w:rPr>
          <w:color w:val="000000"/>
          <w:sz w:val="20"/>
          <w:szCs w:val="20"/>
        </w:rPr>
        <w:t xml:space="preserve">either for a specialist journal, say, </w:t>
      </w:r>
      <w:r w:rsidR="001347B6" w:rsidRPr="007C15BF">
        <w:rPr>
          <w:i/>
          <w:iCs/>
          <w:color w:val="000000"/>
          <w:sz w:val="20"/>
          <w:szCs w:val="20"/>
        </w:rPr>
        <w:t xml:space="preserve">Journal of </w:t>
      </w:r>
      <w:r w:rsidR="007567E1" w:rsidRPr="007C15BF">
        <w:rPr>
          <w:i/>
          <w:iCs/>
          <w:color w:val="000000"/>
          <w:sz w:val="20"/>
          <w:szCs w:val="20"/>
        </w:rPr>
        <w:t>World History</w:t>
      </w:r>
      <w:r w:rsidR="007567E1" w:rsidRPr="007C15BF">
        <w:rPr>
          <w:color w:val="000000"/>
          <w:sz w:val="20"/>
          <w:szCs w:val="20"/>
        </w:rPr>
        <w:t xml:space="preserve"> or for </w:t>
      </w:r>
      <w:r w:rsidR="00704747" w:rsidRPr="007C15BF">
        <w:rPr>
          <w:color w:val="000000"/>
          <w:sz w:val="20"/>
          <w:szCs w:val="20"/>
        </w:rPr>
        <w:t>a literate</w:t>
      </w:r>
      <w:r w:rsidRPr="007C15BF">
        <w:rPr>
          <w:color w:val="000000"/>
          <w:sz w:val="20"/>
          <w:szCs w:val="20"/>
        </w:rPr>
        <w:t xml:space="preserve"> general audience</w:t>
      </w:r>
      <w:r w:rsidR="00704747" w:rsidRPr="007C15BF">
        <w:rPr>
          <w:color w:val="000000"/>
          <w:sz w:val="20"/>
          <w:szCs w:val="20"/>
        </w:rPr>
        <w:t xml:space="preserve">, </w:t>
      </w:r>
      <w:r w:rsidR="007567E1" w:rsidRPr="007C15BF">
        <w:rPr>
          <w:color w:val="000000"/>
          <w:sz w:val="20"/>
          <w:szCs w:val="20"/>
        </w:rPr>
        <w:t xml:space="preserve">say, </w:t>
      </w:r>
      <w:r w:rsidRPr="007C15BF">
        <w:rPr>
          <w:i/>
          <w:iCs/>
          <w:color w:val="000000"/>
          <w:sz w:val="20"/>
          <w:szCs w:val="20"/>
        </w:rPr>
        <w:t xml:space="preserve">Foreign Affairs, Weekend Financial Times  </w:t>
      </w:r>
      <w:r w:rsidR="007567E1" w:rsidRPr="007C15BF">
        <w:rPr>
          <w:color w:val="000000"/>
          <w:sz w:val="20"/>
          <w:szCs w:val="20"/>
        </w:rPr>
        <w:t xml:space="preserve">or WSJ. </w:t>
      </w:r>
      <w:r w:rsidR="001347B6" w:rsidRPr="007C15BF">
        <w:rPr>
          <w:color w:val="000000"/>
          <w:sz w:val="20"/>
          <w:szCs w:val="20"/>
        </w:rPr>
        <w:t xml:space="preserve">Models will be provided. </w:t>
      </w:r>
      <w:r w:rsidR="000B1BEB" w:rsidRPr="007C15BF">
        <w:rPr>
          <w:color w:val="000000"/>
          <w:sz w:val="20"/>
          <w:szCs w:val="20"/>
        </w:rPr>
        <w:t xml:space="preserve"> </w:t>
      </w:r>
      <w:r w:rsidRPr="007C15BF">
        <w:rPr>
          <w:color w:val="000000"/>
          <w:sz w:val="20"/>
          <w:szCs w:val="20"/>
        </w:rPr>
        <w:t xml:space="preserve"> This is due on November</w:t>
      </w:r>
      <w:r w:rsidR="00BA3AC5">
        <w:rPr>
          <w:color w:val="000000"/>
          <w:sz w:val="20"/>
          <w:szCs w:val="20"/>
        </w:rPr>
        <w:t xml:space="preserve"> 10.</w:t>
      </w:r>
    </w:p>
    <w:p w:rsidR="003B6806" w:rsidRPr="007C15BF" w:rsidRDefault="003B6806" w:rsidP="00366230">
      <w:pPr>
        <w:rPr>
          <w:color w:val="000000"/>
          <w:sz w:val="20"/>
          <w:szCs w:val="20"/>
        </w:rPr>
      </w:pPr>
    </w:p>
    <w:p w:rsidR="00366230" w:rsidRPr="007C15BF" w:rsidRDefault="0051042C" w:rsidP="00366230">
      <w:pPr>
        <w:rPr>
          <w:sz w:val="20"/>
          <w:szCs w:val="20"/>
        </w:rPr>
      </w:pPr>
      <w:r w:rsidRPr="007C15BF">
        <w:rPr>
          <w:color w:val="000000"/>
          <w:sz w:val="20"/>
          <w:szCs w:val="20"/>
        </w:rPr>
        <w:t xml:space="preserve">2. </w:t>
      </w:r>
      <w:r w:rsidR="007567E1" w:rsidRPr="007C15BF">
        <w:rPr>
          <w:color w:val="000000"/>
          <w:sz w:val="20"/>
          <w:szCs w:val="20"/>
        </w:rPr>
        <w:t>The other is a</w:t>
      </w:r>
      <w:r w:rsidR="00366230" w:rsidRPr="007C15BF">
        <w:rPr>
          <w:color w:val="000000"/>
          <w:sz w:val="20"/>
          <w:szCs w:val="20"/>
        </w:rPr>
        <w:t xml:space="preserve"> longer paper (6,000-10,000 words), </w:t>
      </w:r>
      <w:r w:rsidR="007567E1" w:rsidRPr="007C15BF">
        <w:rPr>
          <w:color w:val="000000"/>
          <w:sz w:val="20"/>
          <w:szCs w:val="20"/>
        </w:rPr>
        <w:t xml:space="preserve">in which you </w:t>
      </w:r>
      <w:r w:rsidR="00366230" w:rsidRPr="007C15BF">
        <w:rPr>
          <w:color w:val="000000"/>
          <w:sz w:val="20"/>
          <w:szCs w:val="20"/>
        </w:rPr>
        <w:t xml:space="preserve">analyze a historiographical problem or debate in international and global history. </w:t>
      </w:r>
      <w:r w:rsidR="00366230" w:rsidRPr="007C15BF">
        <w:rPr>
          <w:sz w:val="20"/>
          <w:szCs w:val="20"/>
        </w:rPr>
        <w:t xml:space="preserve">You can </w:t>
      </w:r>
      <w:r w:rsidR="007567E1" w:rsidRPr="007C15BF">
        <w:rPr>
          <w:sz w:val="20"/>
          <w:szCs w:val="20"/>
        </w:rPr>
        <w:t>develop a subject from the syllabus or one on your own, related to your thesis. You will want to probe:</w:t>
      </w:r>
      <w:r w:rsidR="00366230" w:rsidRPr="007C15BF">
        <w:rPr>
          <w:sz w:val="20"/>
          <w:szCs w:val="20"/>
        </w:rPr>
        <w:t xml:space="preserve"> </w:t>
      </w:r>
      <w:r w:rsidR="00AA127D" w:rsidRPr="007C15BF">
        <w:rPr>
          <w:sz w:val="20"/>
          <w:szCs w:val="20"/>
        </w:rPr>
        <w:t>How do the contributors define the debate</w:t>
      </w:r>
      <w:r w:rsidR="007567E1" w:rsidRPr="007C15BF">
        <w:rPr>
          <w:sz w:val="20"/>
          <w:szCs w:val="20"/>
        </w:rPr>
        <w:t>? What is at stake (and do the participants rightly perceive what is at stake)? Is it being driven by an issue of contemporary relevance, or by new research or by an academic debate</w:t>
      </w:r>
      <w:r w:rsidR="00AA127D" w:rsidRPr="007C15BF">
        <w:rPr>
          <w:sz w:val="20"/>
          <w:szCs w:val="20"/>
        </w:rPr>
        <w:t xml:space="preserve">? </w:t>
      </w:r>
      <w:r w:rsidR="007567E1" w:rsidRPr="007C15BF">
        <w:rPr>
          <w:sz w:val="20"/>
          <w:szCs w:val="20"/>
        </w:rPr>
        <w:t>What</w:t>
      </w:r>
      <w:r w:rsidR="00AA127D" w:rsidRPr="007C15BF">
        <w:rPr>
          <w:sz w:val="20"/>
          <w:szCs w:val="20"/>
        </w:rPr>
        <w:t xml:space="preserve"> cases </w:t>
      </w:r>
      <w:r w:rsidR="007567E1" w:rsidRPr="007C15BF">
        <w:rPr>
          <w:sz w:val="20"/>
          <w:szCs w:val="20"/>
        </w:rPr>
        <w:t xml:space="preserve">do </w:t>
      </w:r>
      <w:r w:rsidR="00AA127D" w:rsidRPr="007C15BF">
        <w:rPr>
          <w:sz w:val="20"/>
          <w:szCs w:val="20"/>
        </w:rPr>
        <w:t xml:space="preserve">they use to make their arguments? </w:t>
      </w:r>
      <w:r w:rsidR="007567E1" w:rsidRPr="007C15BF">
        <w:rPr>
          <w:sz w:val="20"/>
          <w:szCs w:val="20"/>
        </w:rPr>
        <w:t>How/why are you intervening? What do your propose as your contribution, say, a</w:t>
      </w:r>
      <w:r w:rsidR="00AA127D" w:rsidRPr="007C15BF">
        <w:rPr>
          <w:sz w:val="20"/>
          <w:szCs w:val="20"/>
        </w:rPr>
        <w:t xml:space="preserve"> new research agenda? </w:t>
      </w:r>
      <w:r w:rsidR="007567E1" w:rsidRPr="007C15BF">
        <w:rPr>
          <w:sz w:val="20"/>
          <w:szCs w:val="20"/>
        </w:rPr>
        <w:t>Or a</w:t>
      </w:r>
      <w:r w:rsidR="00AA127D" w:rsidRPr="007C15BF">
        <w:rPr>
          <w:sz w:val="20"/>
          <w:szCs w:val="20"/>
        </w:rPr>
        <w:t xml:space="preserve"> new definition of the problem? </w:t>
      </w:r>
      <w:r w:rsidR="00366230" w:rsidRPr="007C15BF">
        <w:rPr>
          <w:sz w:val="20"/>
          <w:szCs w:val="20"/>
        </w:rPr>
        <w:t xml:space="preserve">You must submit a topic proposal, including a </w:t>
      </w:r>
      <w:r w:rsidR="00BA3AC5">
        <w:rPr>
          <w:sz w:val="20"/>
          <w:szCs w:val="20"/>
        </w:rPr>
        <w:t>one-page</w:t>
      </w:r>
      <w:r w:rsidR="00366230" w:rsidRPr="007C15BF">
        <w:rPr>
          <w:sz w:val="20"/>
          <w:szCs w:val="20"/>
        </w:rPr>
        <w:t xml:space="preserve"> bibliography, by October 8. The </w:t>
      </w:r>
      <w:r w:rsidR="007567E1" w:rsidRPr="007C15BF">
        <w:rPr>
          <w:sz w:val="20"/>
          <w:szCs w:val="20"/>
        </w:rPr>
        <w:t xml:space="preserve">rough draft is due on December 9.  The final </w:t>
      </w:r>
      <w:r w:rsidR="00366230" w:rsidRPr="007C15BF">
        <w:rPr>
          <w:sz w:val="20"/>
          <w:szCs w:val="20"/>
        </w:rPr>
        <w:t xml:space="preserve">paper is due </w:t>
      </w:r>
      <w:r w:rsidR="007567E1" w:rsidRPr="007C15BF">
        <w:rPr>
          <w:sz w:val="20"/>
          <w:szCs w:val="20"/>
        </w:rPr>
        <w:t xml:space="preserve">on </w:t>
      </w:r>
      <w:r w:rsidR="00366230" w:rsidRPr="007C15BF">
        <w:rPr>
          <w:sz w:val="20"/>
          <w:szCs w:val="20"/>
        </w:rPr>
        <w:t xml:space="preserve">Dec. </w:t>
      </w:r>
      <w:r w:rsidR="007567E1" w:rsidRPr="007C15BF">
        <w:rPr>
          <w:sz w:val="20"/>
          <w:szCs w:val="20"/>
        </w:rPr>
        <w:t>18</w:t>
      </w:r>
    </w:p>
    <w:p w:rsidR="00366230" w:rsidRPr="007C15BF" w:rsidRDefault="00366230" w:rsidP="00366230">
      <w:pPr>
        <w:pStyle w:val="NormalWeb"/>
        <w:spacing w:before="0" w:beforeAutospacing="0" w:after="0" w:afterAutospacing="0"/>
        <w:rPr>
          <w:rFonts w:asciiTheme="minorHAnsi" w:hAnsiTheme="minorHAnsi"/>
          <w:sz w:val="20"/>
          <w:szCs w:val="20"/>
        </w:rPr>
      </w:pPr>
    </w:p>
    <w:p w:rsidR="000C1A44" w:rsidRPr="007C15BF" w:rsidRDefault="000C1A44">
      <w:pPr>
        <w:rPr>
          <w:sz w:val="20"/>
          <w:szCs w:val="20"/>
        </w:rPr>
      </w:pPr>
    </w:p>
    <w:p w:rsidR="000C1A44" w:rsidRPr="007C15BF" w:rsidRDefault="000C1A44">
      <w:pPr>
        <w:rPr>
          <w:color w:val="000000" w:themeColor="text1"/>
          <w:sz w:val="20"/>
          <w:szCs w:val="20"/>
        </w:rPr>
      </w:pPr>
    </w:p>
    <w:p w:rsidR="000C1A44" w:rsidRPr="007C15BF" w:rsidRDefault="000C1A44" w:rsidP="00292ECE">
      <w:pPr>
        <w:rPr>
          <w:b/>
          <w:bCs/>
          <w:color w:val="000000" w:themeColor="text1"/>
          <w:sz w:val="20"/>
          <w:szCs w:val="20"/>
        </w:rPr>
      </w:pPr>
    </w:p>
    <w:p w:rsidR="009F6F32" w:rsidRPr="007C15BF" w:rsidRDefault="001D69D7" w:rsidP="00292ECE">
      <w:pPr>
        <w:tabs>
          <w:tab w:val="left" w:pos="180"/>
          <w:tab w:val="left" w:pos="900"/>
        </w:tabs>
        <w:rPr>
          <w:b/>
          <w:bCs/>
          <w:i/>
          <w:color w:val="000000" w:themeColor="text1"/>
          <w:sz w:val="20"/>
          <w:szCs w:val="20"/>
        </w:rPr>
      </w:pPr>
      <w:r>
        <w:rPr>
          <w:b/>
          <w:bCs/>
          <w:color w:val="000000" w:themeColor="text1"/>
          <w:sz w:val="20"/>
          <w:szCs w:val="20"/>
        </w:rPr>
        <w:t xml:space="preserve">Sept. 6: </w:t>
      </w:r>
      <w:r w:rsidR="00816399" w:rsidRPr="007C15BF">
        <w:rPr>
          <w:b/>
          <w:bCs/>
          <w:color w:val="000000" w:themeColor="text1"/>
          <w:sz w:val="20"/>
          <w:szCs w:val="20"/>
        </w:rPr>
        <w:t xml:space="preserve">1. </w:t>
      </w:r>
      <w:r w:rsidR="009F6F32" w:rsidRPr="007C15BF">
        <w:rPr>
          <w:b/>
          <w:bCs/>
          <w:color w:val="000000" w:themeColor="text1"/>
          <w:sz w:val="20"/>
          <w:szCs w:val="20"/>
        </w:rPr>
        <w:t xml:space="preserve">Globalization and the reshaping of the problematic of global/international/world history </w:t>
      </w:r>
    </w:p>
    <w:p w:rsidR="009F6F32" w:rsidRPr="007C15BF" w:rsidRDefault="009F6F32" w:rsidP="00292ECE">
      <w:pPr>
        <w:tabs>
          <w:tab w:val="left" w:pos="180"/>
          <w:tab w:val="left" w:pos="900"/>
        </w:tabs>
        <w:ind w:left="360"/>
        <w:rPr>
          <w:i/>
          <w:sz w:val="20"/>
          <w:szCs w:val="20"/>
        </w:rPr>
      </w:pPr>
    </w:p>
    <w:p w:rsidR="000C1A44" w:rsidRPr="007C15BF" w:rsidRDefault="000C1A44" w:rsidP="00292ECE">
      <w:pPr>
        <w:tabs>
          <w:tab w:val="left" w:pos="180"/>
          <w:tab w:val="left" w:pos="900"/>
        </w:tabs>
        <w:rPr>
          <w:i/>
          <w:sz w:val="20"/>
          <w:szCs w:val="20"/>
        </w:rPr>
      </w:pPr>
      <w:r w:rsidRPr="007C15BF">
        <w:rPr>
          <w:sz w:val="20"/>
          <w:szCs w:val="20"/>
        </w:rPr>
        <w:t xml:space="preserve">Jurgen Osterhammel and Niels P. Peterson, </w:t>
      </w:r>
      <w:r w:rsidRPr="007C15BF">
        <w:rPr>
          <w:i/>
          <w:sz w:val="20"/>
          <w:szCs w:val="20"/>
        </w:rPr>
        <w:t>Globalization: A Short History</w:t>
      </w:r>
      <w:r w:rsidR="001D69D7">
        <w:rPr>
          <w:i/>
          <w:sz w:val="20"/>
          <w:szCs w:val="20"/>
        </w:rPr>
        <w:t xml:space="preserve">   *#</w:t>
      </w:r>
    </w:p>
    <w:p w:rsidR="00C2430B" w:rsidRPr="007C15BF" w:rsidRDefault="00C527D0" w:rsidP="00292ECE">
      <w:pPr>
        <w:rPr>
          <w:rFonts w:cs="Tahoma"/>
          <w:sz w:val="20"/>
          <w:szCs w:val="20"/>
        </w:rPr>
      </w:pPr>
      <w:r w:rsidRPr="007C15BF">
        <w:rPr>
          <w:rFonts w:cs="Tahoma"/>
          <w:sz w:val="20"/>
          <w:szCs w:val="20"/>
        </w:rPr>
        <w:t xml:space="preserve">Akita Shigeru, “Introduction: From Imperial History to Global History”, in: id. (ed.), </w:t>
      </w:r>
      <w:r w:rsidRPr="007C15BF">
        <w:rPr>
          <w:rFonts w:cs="Tahoma"/>
          <w:i/>
          <w:sz w:val="20"/>
          <w:szCs w:val="20"/>
        </w:rPr>
        <w:t>Gentlemanly Capitalism, Imperialism and Global History</w:t>
      </w:r>
      <w:r w:rsidRPr="007C15BF">
        <w:rPr>
          <w:rFonts w:cs="Tahoma"/>
          <w:sz w:val="20"/>
          <w:szCs w:val="20"/>
        </w:rPr>
        <w:t xml:space="preserve">, </w:t>
      </w:r>
      <w:r w:rsidR="001D69D7">
        <w:rPr>
          <w:rFonts w:cs="Tahoma"/>
          <w:sz w:val="20"/>
          <w:szCs w:val="20"/>
        </w:rPr>
        <w:t>(P</w:t>
      </w:r>
      <w:r w:rsidRPr="007C15BF">
        <w:rPr>
          <w:rFonts w:cs="Tahoma"/>
          <w:sz w:val="20"/>
          <w:szCs w:val="20"/>
        </w:rPr>
        <w:t>algrave 2002</w:t>
      </w:r>
      <w:r w:rsidR="001D69D7">
        <w:rPr>
          <w:rFonts w:cs="Tahoma"/>
          <w:sz w:val="20"/>
          <w:szCs w:val="20"/>
        </w:rPr>
        <w:t>) 1-16  CW</w:t>
      </w:r>
    </w:p>
    <w:p w:rsidR="00C2430B" w:rsidRPr="007C15BF" w:rsidRDefault="006C35C0" w:rsidP="00292ECE">
      <w:pPr>
        <w:rPr>
          <w:rFonts w:cs="Tahoma"/>
          <w:sz w:val="20"/>
          <w:szCs w:val="20"/>
        </w:rPr>
      </w:pPr>
      <w:r w:rsidRPr="007C15BF">
        <w:rPr>
          <w:rFonts w:cs="Tahoma"/>
          <w:sz w:val="20"/>
          <w:szCs w:val="20"/>
        </w:rPr>
        <w:t>D</w:t>
      </w:r>
      <w:r w:rsidR="00E737AB" w:rsidRPr="007C15BF">
        <w:rPr>
          <w:rFonts w:cs="Tahoma"/>
          <w:sz w:val="20"/>
          <w:szCs w:val="20"/>
        </w:rPr>
        <w:t xml:space="preserve">ipesh Chakrabarty, “Post-Coloniality and the Artifice of History” in </w:t>
      </w:r>
      <w:r w:rsidR="00E737AB" w:rsidRPr="007C15BF">
        <w:rPr>
          <w:rFonts w:cs="Tahoma"/>
          <w:i/>
          <w:sz w:val="20"/>
          <w:szCs w:val="20"/>
        </w:rPr>
        <w:t>Provincializing Europe</w:t>
      </w:r>
      <w:r w:rsidR="00E737AB" w:rsidRPr="007C15BF">
        <w:rPr>
          <w:rFonts w:cs="Tahoma"/>
          <w:sz w:val="20"/>
          <w:szCs w:val="20"/>
        </w:rPr>
        <w:t xml:space="preserve"> </w:t>
      </w:r>
      <w:r w:rsidR="001D69D7">
        <w:rPr>
          <w:rFonts w:cs="Tahoma"/>
          <w:sz w:val="20"/>
          <w:szCs w:val="20"/>
        </w:rPr>
        <w:t xml:space="preserve"> (Princeton, 2000) 27-46 </w:t>
      </w:r>
      <w:r w:rsidR="00E737AB" w:rsidRPr="007C15BF">
        <w:rPr>
          <w:rFonts w:cs="Tahoma"/>
          <w:sz w:val="20"/>
          <w:szCs w:val="20"/>
        </w:rPr>
        <w:t>(</w:t>
      </w:r>
      <w:r w:rsidR="00E544B2" w:rsidRPr="007C15BF">
        <w:rPr>
          <w:rFonts w:cs="Tahoma"/>
          <w:sz w:val="20"/>
          <w:szCs w:val="20"/>
        </w:rPr>
        <w:t>CW)</w:t>
      </w:r>
      <w:r w:rsidR="001D69D7">
        <w:rPr>
          <w:rFonts w:cs="Tahoma"/>
          <w:sz w:val="20"/>
          <w:szCs w:val="20"/>
        </w:rPr>
        <w:t xml:space="preserve"> *</w:t>
      </w:r>
    </w:p>
    <w:p w:rsidR="00816399" w:rsidRPr="007C15BF" w:rsidRDefault="00816399" w:rsidP="00292ECE">
      <w:pPr>
        <w:rPr>
          <w:rFonts w:cs="Tahoma"/>
          <w:sz w:val="20"/>
          <w:szCs w:val="20"/>
        </w:rPr>
      </w:pPr>
    </w:p>
    <w:p w:rsidR="00292ECE" w:rsidRPr="00BA3AC5" w:rsidRDefault="00C527D0" w:rsidP="00292ECE">
      <w:pPr>
        <w:rPr>
          <w:rFonts w:cs="Tahoma"/>
          <w:sz w:val="20"/>
          <w:szCs w:val="20"/>
        </w:rPr>
      </w:pPr>
      <w:r w:rsidRPr="007C15BF">
        <w:rPr>
          <w:rFonts w:cs="Tahoma"/>
          <w:sz w:val="20"/>
          <w:szCs w:val="20"/>
        </w:rPr>
        <w:t xml:space="preserve"> </w:t>
      </w:r>
      <w:r w:rsidR="001D69D7">
        <w:rPr>
          <w:b/>
          <w:sz w:val="20"/>
          <w:szCs w:val="20"/>
        </w:rPr>
        <w:t xml:space="preserve">Sept. 13. </w:t>
      </w:r>
      <w:r w:rsidR="00816399" w:rsidRPr="007C15BF">
        <w:rPr>
          <w:b/>
          <w:sz w:val="20"/>
          <w:szCs w:val="20"/>
        </w:rPr>
        <w:t xml:space="preserve">2. </w:t>
      </w:r>
      <w:r w:rsidR="00393A49" w:rsidRPr="007C15BF">
        <w:rPr>
          <w:b/>
          <w:sz w:val="20"/>
          <w:szCs w:val="20"/>
        </w:rPr>
        <w:t>Expansion of International Society</w:t>
      </w:r>
      <w:r w:rsidR="00292ECE" w:rsidRPr="007C15BF">
        <w:rPr>
          <w:b/>
          <w:sz w:val="20"/>
          <w:szCs w:val="20"/>
        </w:rPr>
        <w:t>/Setting the Standard of Civilization</w:t>
      </w:r>
      <w:r w:rsidR="00393A49" w:rsidRPr="007C15BF">
        <w:rPr>
          <w:rFonts w:cs="Tahoma"/>
          <w:b/>
          <w:sz w:val="20"/>
          <w:szCs w:val="20"/>
        </w:rPr>
        <w:t xml:space="preserve"> </w:t>
      </w:r>
    </w:p>
    <w:p w:rsidR="00E544B2" w:rsidRPr="007C15BF" w:rsidRDefault="00E544B2" w:rsidP="00292ECE">
      <w:pPr>
        <w:rPr>
          <w:sz w:val="20"/>
          <w:szCs w:val="20"/>
        </w:rPr>
      </w:pPr>
    </w:p>
    <w:p w:rsidR="00E544B2" w:rsidRPr="007C15BF" w:rsidRDefault="00393A49" w:rsidP="00751119">
      <w:pPr>
        <w:rPr>
          <w:sz w:val="20"/>
          <w:szCs w:val="20"/>
        </w:rPr>
      </w:pPr>
      <w:r w:rsidRPr="007C15BF">
        <w:rPr>
          <w:sz w:val="20"/>
          <w:szCs w:val="20"/>
        </w:rPr>
        <w:t>Hedley Bull</w:t>
      </w:r>
      <w:r w:rsidR="00E544B2" w:rsidRPr="007C15BF">
        <w:rPr>
          <w:sz w:val="20"/>
          <w:szCs w:val="20"/>
        </w:rPr>
        <w:t xml:space="preserve"> and Adam Watson, editors</w:t>
      </w:r>
      <w:r w:rsidRPr="007C15BF">
        <w:rPr>
          <w:sz w:val="20"/>
          <w:szCs w:val="20"/>
        </w:rPr>
        <w:t xml:space="preserve">, </w:t>
      </w:r>
      <w:r w:rsidRPr="007C15BF">
        <w:rPr>
          <w:i/>
          <w:sz w:val="20"/>
          <w:szCs w:val="20"/>
        </w:rPr>
        <w:t>The Expansion of International Society</w:t>
      </w:r>
      <w:r w:rsidRPr="007C15BF">
        <w:rPr>
          <w:sz w:val="20"/>
          <w:szCs w:val="20"/>
        </w:rPr>
        <w:t xml:space="preserve">, </w:t>
      </w:r>
      <w:r w:rsidR="00E544B2" w:rsidRPr="007C15BF">
        <w:rPr>
          <w:sz w:val="20"/>
          <w:szCs w:val="20"/>
        </w:rPr>
        <w:t xml:space="preserve">(Oxford, </w:t>
      </w:r>
      <w:r w:rsidRPr="007C15BF">
        <w:rPr>
          <w:sz w:val="20"/>
          <w:szCs w:val="20"/>
        </w:rPr>
        <w:t>1984</w:t>
      </w:r>
      <w:r w:rsidR="001D69D7">
        <w:rPr>
          <w:sz w:val="20"/>
          <w:szCs w:val="20"/>
        </w:rPr>
        <w:t xml:space="preserve">) </w:t>
      </w:r>
      <w:r w:rsidR="00E544B2" w:rsidRPr="007C15BF">
        <w:rPr>
          <w:sz w:val="20"/>
          <w:szCs w:val="20"/>
        </w:rPr>
        <w:t xml:space="preserve">Introduction, Chapters </w:t>
      </w:r>
      <w:r w:rsidR="00634882" w:rsidRPr="007C15BF">
        <w:rPr>
          <w:sz w:val="20"/>
          <w:szCs w:val="20"/>
        </w:rPr>
        <w:t>1-2, 8</w:t>
      </w:r>
      <w:r w:rsidR="001D69D7">
        <w:rPr>
          <w:sz w:val="20"/>
          <w:szCs w:val="20"/>
        </w:rPr>
        <w:t xml:space="preserve">. </w:t>
      </w:r>
      <w:r w:rsidR="00634882" w:rsidRPr="007C15BF">
        <w:rPr>
          <w:sz w:val="20"/>
          <w:szCs w:val="20"/>
        </w:rPr>
        <w:t>1-42, 117-126</w:t>
      </w:r>
      <w:r w:rsidR="00E544B2" w:rsidRPr="007C15BF">
        <w:rPr>
          <w:sz w:val="20"/>
          <w:szCs w:val="20"/>
        </w:rPr>
        <w:t>. *#</w:t>
      </w:r>
    </w:p>
    <w:p w:rsidR="00292ECE" w:rsidRPr="007C15BF" w:rsidRDefault="00292ECE" w:rsidP="00751119">
      <w:pPr>
        <w:rPr>
          <w:sz w:val="20"/>
          <w:szCs w:val="20"/>
        </w:rPr>
      </w:pPr>
      <w:r w:rsidRPr="007C15BF">
        <w:rPr>
          <w:sz w:val="20"/>
          <w:szCs w:val="20"/>
        </w:rPr>
        <w:t>Antony Anghie, “Finding the peripheries: colonialism in nineteenth-century international law</w:t>
      </w:r>
      <w:r w:rsidR="00E544B2" w:rsidRPr="007C15BF">
        <w:rPr>
          <w:sz w:val="20"/>
          <w:szCs w:val="20"/>
        </w:rPr>
        <w:t>”</w:t>
      </w:r>
      <w:r w:rsidRPr="007C15BF">
        <w:rPr>
          <w:sz w:val="20"/>
          <w:szCs w:val="20"/>
        </w:rPr>
        <w:t xml:space="preserve"> in  </w:t>
      </w:r>
      <w:r w:rsidR="00E544B2" w:rsidRPr="007C15BF">
        <w:rPr>
          <w:sz w:val="20"/>
          <w:szCs w:val="20"/>
        </w:rPr>
        <w:t xml:space="preserve">Anghie, </w:t>
      </w:r>
      <w:r w:rsidRPr="007C15BF">
        <w:rPr>
          <w:i/>
          <w:sz w:val="20"/>
          <w:szCs w:val="20"/>
        </w:rPr>
        <w:t>Imperialism, Sovereignty and the Making of International Law,</w:t>
      </w:r>
      <w:r w:rsidRPr="007C15BF">
        <w:rPr>
          <w:sz w:val="20"/>
          <w:szCs w:val="20"/>
        </w:rPr>
        <w:t xml:space="preserve"> </w:t>
      </w:r>
      <w:r w:rsidR="00E544B2" w:rsidRPr="007C15BF">
        <w:rPr>
          <w:sz w:val="20"/>
          <w:szCs w:val="20"/>
        </w:rPr>
        <w:t>(</w:t>
      </w:r>
      <w:r w:rsidRPr="007C15BF">
        <w:rPr>
          <w:sz w:val="20"/>
          <w:szCs w:val="20"/>
        </w:rPr>
        <w:t>Cambridge, 2005</w:t>
      </w:r>
      <w:r w:rsidR="00E544B2" w:rsidRPr="007C15BF">
        <w:rPr>
          <w:sz w:val="20"/>
          <w:szCs w:val="20"/>
        </w:rPr>
        <w:t xml:space="preserve">)  Pp. </w:t>
      </w:r>
      <w:r w:rsidRPr="007C15BF">
        <w:rPr>
          <w:sz w:val="20"/>
          <w:szCs w:val="20"/>
        </w:rPr>
        <w:t>32-114</w:t>
      </w:r>
      <w:r w:rsidR="00E544B2" w:rsidRPr="007C15BF">
        <w:rPr>
          <w:sz w:val="20"/>
          <w:szCs w:val="20"/>
        </w:rPr>
        <w:t>.</w:t>
      </w:r>
      <w:r w:rsidRPr="007C15BF">
        <w:rPr>
          <w:sz w:val="20"/>
          <w:szCs w:val="20"/>
        </w:rPr>
        <w:t xml:space="preserve"> </w:t>
      </w:r>
      <w:r w:rsidR="001D69D7">
        <w:rPr>
          <w:sz w:val="20"/>
          <w:szCs w:val="20"/>
        </w:rPr>
        <w:t xml:space="preserve"> CW </w:t>
      </w:r>
      <w:r w:rsidRPr="007C15BF">
        <w:rPr>
          <w:sz w:val="20"/>
          <w:szCs w:val="20"/>
        </w:rPr>
        <w:t>http://dx.doi.org/10.1017/CBO9780511614262.005</w:t>
      </w:r>
    </w:p>
    <w:p w:rsidR="00292ECE" w:rsidRPr="007C15BF" w:rsidRDefault="00292ECE" w:rsidP="00292ECE">
      <w:pPr>
        <w:pStyle w:val="ListParagraph"/>
        <w:ind w:left="630"/>
        <w:rPr>
          <w:sz w:val="20"/>
          <w:szCs w:val="20"/>
        </w:rPr>
      </w:pPr>
    </w:p>
    <w:p w:rsidR="00F1323A" w:rsidRPr="007C15BF" w:rsidRDefault="001D69D7" w:rsidP="00292ECE">
      <w:pPr>
        <w:rPr>
          <w:rFonts w:cs="Tahoma"/>
          <w:b/>
          <w:sz w:val="20"/>
          <w:szCs w:val="20"/>
        </w:rPr>
      </w:pPr>
      <w:r>
        <w:rPr>
          <w:rFonts w:cs="Tahoma"/>
          <w:b/>
          <w:sz w:val="20"/>
          <w:szCs w:val="20"/>
        </w:rPr>
        <w:t xml:space="preserve">Sept. 27. </w:t>
      </w:r>
      <w:r w:rsidR="0029499A" w:rsidRPr="007C15BF">
        <w:rPr>
          <w:rFonts w:cs="Tahoma"/>
          <w:b/>
          <w:sz w:val="20"/>
          <w:szCs w:val="20"/>
        </w:rPr>
        <w:t xml:space="preserve">3. </w:t>
      </w:r>
      <w:r w:rsidR="00393A49" w:rsidRPr="007C15BF">
        <w:rPr>
          <w:rFonts w:cs="Tahoma"/>
          <w:b/>
          <w:sz w:val="20"/>
          <w:szCs w:val="20"/>
        </w:rPr>
        <w:t xml:space="preserve">Geopolitics Redux: </w:t>
      </w:r>
    </w:p>
    <w:p w:rsidR="004734B7" w:rsidRPr="007C15BF" w:rsidRDefault="004734B7" w:rsidP="00292ECE">
      <w:pPr>
        <w:rPr>
          <w:sz w:val="20"/>
          <w:szCs w:val="20"/>
        </w:rPr>
      </w:pPr>
    </w:p>
    <w:p w:rsidR="00E544B2" w:rsidRPr="007C15BF" w:rsidRDefault="0046435B" w:rsidP="00292ECE">
      <w:pPr>
        <w:rPr>
          <w:rFonts w:cs="Tahoma"/>
          <w:sz w:val="20"/>
          <w:szCs w:val="20"/>
        </w:rPr>
      </w:pPr>
      <w:r w:rsidRPr="007C15BF">
        <w:rPr>
          <w:rFonts w:cs="Tahoma"/>
          <w:sz w:val="20"/>
          <w:szCs w:val="20"/>
        </w:rPr>
        <w:t>G. O Tuathail, S. Salby, and P. Routledge, Editors,</w:t>
      </w:r>
      <w:r w:rsidR="00E544B2" w:rsidRPr="007C15BF">
        <w:rPr>
          <w:rFonts w:cs="Tahoma"/>
          <w:i/>
          <w:sz w:val="20"/>
          <w:szCs w:val="20"/>
        </w:rPr>
        <w:t>The Geopolitics Reader</w:t>
      </w:r>
      <w:r w:rsidRPr="007C15BF">
        <w:rPr>
          <w:rFonts w:cs="Tahoma"/>
          <w:sz w:val="20"/>
          <w:szCs w:val="20"/>
        </w:rPr>
        <w:t xml:space="preserve"> </w:t>
      </w:r>
      <w:r w:rsidR="0045374B" w:rsidRPr="007C15BF">
        <w:rPr>
          <w:rFonts w:cs="Tahoma"/>
          <w:sz w:val="20"/>
          <w:szCs w:val="20"/>
        </w:rPr>
        <w:t>(Routledge, 1998)</w:t>
      </w:r>
      <w:r w:rsidRPr="007C15BF">
        <w:rPr>
          <w:rFonts w:cs="Tahoma"/>
          <w:sz w:val="20"/>
          <w:szCs w:val="20"/>
        </w:rPr>
        <w:t xml:space="preserve"> *CW</w:t>
      </w:r>
    </w:p>
    <w:p w:rsidR="0046435B" w:rsidRPr="007C15BF" w:rsidRDefault="0046435B" w:rsidP="00292ECE">
      <w:pPr>
        <w:rPr>
          <w:rFonts w:cs="Tahoma"/>
          <w:sz w:val="20"/>
          <w:szCs w:val="20"/>
        </w:rPr>
      </w:pPr>
      <w:r w:rsidRPr="007C15BF">
        <w:rPr>
          <w:rFonts w:cs="Tahoma"/>
          <w:sz w:val="20"/>
          <w:szCs w:val="20"/>
        </w:rPr>
        <w:t xml:space="preserve">Tuathail, “Thinking Critically about Geopolitics,” 1-15; Thuatail, Imperialist Geopolitics, 15-26; </w:t>
      </w:r>
      <w:r w:rsidR="004734B7" w:rsidRPr="007C15BF">
        <w:rPr>
          <w:rFonts w:cs="Tahoma"/>
          <w:sz w:val="20"/>
          <w:szCs w:val="20"/>
        </w:rPr>
        <w:t xml:space="preserve"> MacKinder (1904) 27-31; Haushofer(1942) 33-35; Haushofer (1948) 40-46; Tuathail and Agnew, “Geopolitics and Discourse: Practical Geopolitical Reasoning in American Foreign Policy, (1992) 78-91; S. Huntington, “The Clash of Civilizations,” (1993) 159-169; P. Routledge, “Anti-Geopolitics,” 245-</w:t>
      </w:r>
      <w:r w:rsidR="001D69D7">
        <w:rPr>
          <w:rFonts w:cs="Tahoma"/>
          <w:sz w:val="20"/>
          <w:szCs w:val="20"/>
        </w:rPr>
        <w:t>255; Edward Said, “Orientalism</w:t>
      </w:r>
      <w:r w:rsidR="004734B7" w:rsidRPr="007C15BF">
        <w:rPr>
          <w:rFonts w:cs="Tahoma"/>
          <w:sz w:val="20"/>
          <w:szCs w:val="20"/>
        </w:rPr>
        <w:t xml:space="preserve"> Reconsidered,” (1984) 256-261.</w:t>
      </w:r>
    </w:p>
    <w:p w:rsidR="004734B7" w:rsidRPr="007C15BF" w:rsidRDefault="002C1777" w:rsidP="00292ECE">
      <w:pPr>
        <w:rPr>
          <w:rFonts w:cs="Tahoma"/>
          <w:sz w:val="20"/>
          <w:szCs w:val="20"/>
        </w:rPr>
      </w:pPr>
      <w:r w:rsidRPr="007C15BF">
        <w:rPr>
          <w:rFonts w:cs="Tahoma"/>
          <w:sz w:val="20"/>
          <w:szCs w:val="20"/>
        </w:rPr>
        <w:t xml:space="preserve">Mehmet Akif Okur, “Classical Texts </w:t>
      </w:r>
      <w:r w:rsidR="004734B7" w:rsidRPr="007C15BF">
        <w:rPr>
          <w:rFonts w:cs="Tahoma"/>
          <w:sz w:val="20"/>
          <w:szCs w:val="20"/>
        </w:rPr>
        <w:t>o</w:t>
      </w:r>
      <w:r w:rsidRPr="007C15BF">
        <w:rPr>
          <w:rFonts w:cs="Tahoma"/>
          <w:sz w:val="20"/>
          <w:szCs w:val="20"/>
        </w:rPr>
        <w:t xml:space="preserve">f the Geopolitics and the “Heart Of Eurasia”, </w:t>
      </w:r>
      <w:r w:rsidRPr="007C15BF">
        <w:rPr>
          <w:rFonts w:cs="Tahoma"/>
          <w:i/>
          <w:sz w:val="20"/>
          <w:szCs w:val="20"/>
        </w:rPr>
        <w:t>Journal of Turkish World Studies</w:t>
      </w:r>
      <w:r w:rsidRPr="007C15BF">
        <w:rPr>
          <w:rFonts w:cs="Tahoma"/>
          <w:sz w:val="20"/>
          <w:szCs w:val="20"/>
        </w:rPr>
        <w:t>, XIV/2, pp.76-90</w:t>
      </w:r>
      <w:r w:rsidR="004734B7" w:rsidRPr="007C15BF">
        <w:rPr>
          <w:rFonts w:cs="Tahoma"/>
          <w:sz w:val="20"/>
          <w:szCs w:val="20"/>
        </w:rPr>
        <w:t>.</w:t>
      </w:r>
      <w:r w:rsidRPr="007C15BF">
        <w:rPr>
          <w:rFonts w:cs="Tahoma"/>
          <w:sz w:val="20"/>
          <w:szCs w:val="20"/>
        </w:rPr>
        <w:t xml:space="preserve"> </w:t>
      </w:r>
      <w:r w:rsidR="004734B7" w:rsidRPr="007C15BF">
        <w:rPr>
          <w:rFonts w:cs="Tahoma"/>
          <w:sz w:val="20"/>
          <w:szCs w:val="20"/>
        </w:rPr>
        <w:t xml:space="preserve"> CW</w:t>
      </w:r>
    </w:p>
    <w:p w:rsidR="00393A49" w:rsidRPr="007C15BF" w:rsidRDefault="008B049C" w:rsidP="00292ECE">
      <w:pPr>
        <w:rPr>
          <w:sz w:val="20"/>
          <w:szCs w:val="20"/>
        </w:rPr>
      </w:pPr>
      <w:hyperlink r:id="rId6" w:history="1">
        <w:r w:rsidR="002C1777" w:rsidRPr="007C15BF">
          <w:rPr>
            <w:rStyle w:val="Hyperlink"/>
            <w:rFonts w:cs="Tahoma"/>
            <w:sz w:val="20"/>
            <w:szCs w:val="20"/>
          </w:rPr>
          <w:t>https://www.academia.edu/10035574/CLASSICAL_TEXTS_OF_THE_GEOPOLITICS_AND_THE_HEART_OF_EURASIA_Jeopoliti%C4%9Fin_Klasik_Metinleri_ve_Avrasya_n%C4%B1n_Kalbi</w:t>
        </w:r>
      </w:hyperlink>
      <w:r w:rsidR="002C1777" w:rsidRPr="007C15BF">
        <w:rPr>
          <w:rFonts w:cs="Tahoma"/>
          <w:sz w:val="20"/>
          <w:szCs w:val="20"/>
        </w:rPr>
        <w:t xml:space="preserve">; </w:t>
      </w:r>
    </w:p>
    <w:p w:rsidR="006C35C0" w:rsidRPr="007C15BF" w:rsidRDefault="006C35C0" w:rsidP="00292ECE">
      <w:pPr>
        <w:rPr>
          <w:rFonts w:cs="Helvetica"/>
          <w:color w:val="1C1C1C"/>
          <w:sz w:val="20"/>
          <w:szCs w:val="20"/>
        </w:rPr>
      </w:pPr>
    </w:p>
    <w:p w:rsidR="00D86F52" w:rsidRPr="007C15BF" w:rsidRDefault="00D86F52" w:rsidP="00292ECE">
      <w:pPr>
        <w:rPr>
          <w:b/>
          <w:sz w:val="20"/>
          <w:szCs w:val="20"/>
        </w:rPr>
      </w:pPr>
    </w:p>
    <w:p w:rsidR="00292ECE" w:rsidRPr="007C15BF" w:rsidRDefault="001D69D7" w:rsidP="00292ECE">
      <w:pPr>
        <w:rPr>
          <w:b/>
          <w:sz w:val="20"/>
          <w:szCs w:val="20"/>
        </w:rPr>
      </w:pPr>
      <w:r>
        <w:rPr>
          <w:b/>
          <w:sz w:val="20"/>
          <w:szCs w:val="20"/>
        </w:rPr>
        <w:t xml:space="preserve">Oct. </w:t>
      </w:r>
      <w:r w:rsidR="007C15BF" w:rsidRPr="007C15BF">
        <w:rPr>
          <w:b/>
          <w:sz w:val="20"/>
          <w:szCs w:val="20"/>
        </w:rPr>
        <w:t xml:space="preserve">4. </w:t>
      </w:r>
      <w:r w:rsidR="00BA3AC5">
        <w:rPr>
          <w:b/>
          <w:sz w:val="20"/>
          <w:szCs w:val="20"/>
        </w:rPr>
        <w:t xml:space="preserve">4. </w:t>
      </w:r>
      <w:r w:rsidR="007C15BF" w:rsidRPr="007C15BF">
        <w:rPr>
          <w:b/>
          <w:sz w:val="20"/>
          <w:szCs w:val="20"/>
        </w:rPr>
        <w:t>“</w:t>
      </w:r>
      <w:r w:rsidR="00A75506" w:rsidRPr="007C15BF">
        <w:rPr>
          <w:b/>
          <w:sz w:val="20"/>
          <w:szCs w:val="20"/>
        </w:rPr>
        <w:t>Man’s Entire History</w:t>
      </w:r>
      <w:r w:rsidR="004734B7" w:rsidRPr="007C15BF">
        <w:rPr>
          <w:b/>
          <w:sz w:val="20"/>
          <w:szCs w:val="20"/>
        </w:rPr>
        <w:t>:</w:t>
      </w:r>
      <w:r w:rsidR="00A75506" w:rsidRPr="007C15BF">
        <w:rPr>
          <w:b/>
          <w:sz w:val="20"/>
          <w:szCs w:val="20"/>
        </w:rPr>
        <w:t>”</w:t>
      </w:r>
      <w:r w:rsidR="007C15BF" w:rsidRPr="007C15BF">
        <w:rPr>
          <w:b/>
          <w:sz w:val="20"/>
          <w:szCs w:val="20"/>
        </w:rPr>
        <w:t xml:space="preserve"> </w:t>
      </w:r>
      <w:r w:rsidR="004734B7" w:rsidRPr="007C15BF">
        <w:rPr>
          <w:b/>
          <w:sz w:val="20"/>
          <w:szCs w:val="20"/>
        </w:rPr>
        <w:t xml:space="preserve">Material Life and </w:t>
      </w:r>
      <w:r w:rsidR="00BA3AC5">
        <w:rPr>
          <w:b/>
          <w:sz w:val="20"/>
          <w:szCs w:val="20"/>
        </w:rPr>
        <w:t>t</w:t>
      </w:r>
      <w:r w:rsidR="004734B7" w:rsidRPr="007C15BF">
        <w:rPr>
          <w:b/>
          <w:sz w:val="20"/>
          <w:szCs w:val="20"/>
        </w:rPr>
        <w:t xml:space="preserve">he Capitalist </w:t>
      </w:r>
      <w:r w:rsidR="00BA3AC5" w:rsidRPr="007C15BF">
        <w:rPr>
          <w:b/>
          <w:sz w:val="20"/>
          <w:szCs w:val="20"/>
        </w:rPr>
        <w:t xml:space="preserve">World </w:t>
      </w:r>
      <w:r w:rsidR="004734B7" w:rsidRPr="007C15BF">
        <w:rPr>
          <w:b/>
          <w:sz w:val="20"/>
          <w:szCs w:val="20"/>
        </w:rPr>
        <w:t>System</w:t>
      </w:r>
      <w:r w:rsidR="00A75506" w:rsidRPr="007C15BF">
        <w:rPr>
          <w:b/>
          <w:sz w:val="20"/>
          <w:szCs w:val="20"/>
        </w:rPr>
        <w:t xml:space="preserve"> </w:t>
      </w:r>
    </w:p>
    <w:p w:rsidR="00292ECE" w:rsidRPr="007C15BF" w:rsidRDefault="00292ECE" w:rsidP="00292ECE">
      <w:pPr>
        <w:ind w:left="270"/>
        <w:rPr>
          <w:rFonts w:cs="Tahoma"/>
          <w:b/>
          <w:sz w:val="20"/>
          <w:szCs w:val="20"/>
        </w:rPr>
      </w:pPr>
    </w:p>
    <w:p w:rsidR="00292ECE" w:rsidRPr="007C15BF" w:rsidRDefault="00292ECE" w:rsidP="00292ECE">
      <w:pPr>
        <w:rPr>
          <w:sz w:val="20"/>
          <w:szCs w:val="20"/>
        </w:rPr>
      </w:pPr>
      <w:r w:rsidRPr="007C15BF">
        <w:rPr>
          <w:sz w:val="20"/>
          <w:szCs w:val="20"/>
        </w:rPr>
        <w:t xml:space="preserve">Fernand Braudel, </w:t>
      </w:r>
      <w:r w:rsidRPr="007C15BF">
        <w:rPr>
          <w:i/>
          <w:sz w:val="20"/>
          <w:szCs w:val="20"/>
        </w:rPr>
        <w:t>Afterthoughts on Material Civilization and Capitalism</w:t>
      </w:r>
      <w:r w:rsidRPr="007C15BF">
        <w:rPr>
          <w:sz w:val="20"/>
          <w:szCs w:val="20"/>
        </w:rPr>
        <w:t xml:space="preserve"> (Johns Hopkins 1979</w:t>
      </w:r>
      <w:r w:rsidR="004734B7" w:rsidRPr="007C15BF">
        <w:rPr>
          <w:sz w:val="20"/>
          <w:szCs w:val="20"/>
        </w:rPr>
        <w:t>) *#</w:t>
      </w:r>
    </w:p>
    <w:p w:rsidR="006C35C0" w:rsidRPr="007C15BF" w:rsidRDefault="006C35C0" w:rsidP="00292ECE">
      <w:pPr>
        <w:rPr>
          <w:rFonts w:cs="Arial"/>
          <w:sz w:val="20"/>
          <w:szCs w:val="20"/>
        </w:rPr>
      </w:pPr>
      <w:r w:rsidRPr="007C15BF">
        <w:rPr>
          <w:rFonts w:cs="Tahoma"/>
          <w:sz w:val="20"/>
          <w:szCs w:val="20"/>
        </w:rPr>
        <w:t xml:space="preserve">Immanuel </w:t>
      </w:r>
      <w:r w:rsidRPr="007C15BF">
        <w:rPr>
          <w:rFonts w:cs="Arial"/>
          <w:sz w:val="20"/>
          <w:szCs w:val="20"/>
        </w:rPr>
        <w:t xml:space="preserve">Wallerstein, </w:t>
      </w:r>
      <w:r w:rsidR="004734B7" w:rsidRPr="007C15BF">
        <w:rPr>
          <w:rFonts w:cs="Arial"/>
          <w:sz w:val="20"/>
          <w:szCs w:val="20"/>
        </w:rPr>
        <w:t>“</w:t>
      </w:r>
      <w:r w:rsidRPr="007C15BF">
        <w:rPr>
          <w:rFonts w:cs="Arial"/>
          <w:sz w:val="20"/>
          <w:szCs w:val="20"/>
        </w:rPr>
        <w:t>The Rise and Future Demise of the World Capitalist System: Co</w:t>
      </w:r>
      <w:r w:rsidR="004734B7" w:rsidRPr="007C15BF">
        <w:rPr>
          <w:rFonts w:cs="Arial"/>
          <w:sz w:val="20"/>
          <w:szCs w:val="20"/>
        </w:rPr>
        <w:t>ncepts for Comparative Analysis,</w:t>
      </w:r>
      <w:r w:rsidRPr="007C15BF">
        <w:rPr>
          <w:rFonts w:cs="Arial"/>
          <w:sz w:val="20"/>
          <w:szCs w:val="20"/>
        </w:rPr>
        <w:t xml:space="preserve">" </w:t>
      </w:r>
      <w:r w:rsidRPr="007C15BF">
        <w:rPr>
          <w:rFonts w:cs="Arial"/>
          <w:i/>
          <w:sz w:val="20"/>
          <w:szCs w:val="20"/>
        </w:rPr>
        <w:t>Comparative Studies in Society and History</w:t>
      </w:r>
      <w:r w:rsidRPr="007C15BF">
        <w:rPr>
          <w:rFonts w:cs="Arial"/>
          <w:sz w:val="20"/>
          <w:szCs w:val="20"/>
        </w:rPr>
        <w:t xml:space="preserve"> 16:4(</w:t>
      </w:r>
      <w:r w:rsidR="007C15BF">
        <w:rPr>
          <w:rFonts w:cs="Arial"/>
          <w:sz w:val="20"/>
          <w:szCs w:val="20"/>
        </w:rPr>
        <w:t xml:space="preserve"> </w:t>
      </w:r>
      <w:r w:rsidRPr="007C15BF">
        <w:rPr>
          <w:rFonts w:cs="Arial"/>
          <w:sz w:val="20"/>
          <w:szCs w:val="20"/>
        </w:rPr>
        <w:t>Sept.</w:t>
      </w:r>
      <w:r w:rsidR="007C15BF">
        <w:rPr>
          <w:rFonts w:cs="Arial"/>
          <w:sz w:val="20"/>
          <w:szCs w:val="20"/>
        </w:rPr>
        <w:t>)</w:t>
      </w:r>
      <w:r w:rsidR="004734B7" w:rsidRPr="007C15BF">
        <w:rPr>
          <w:rFonts w:cs="Arial"/>
          <w:sz w:val="20"/>
          <w:szCs w:val="20"/>
        </w:rPr>
        <w:t xml:space="preserve">  </w:t>
      </w:r>
      <w:r w:rsidRPr="007C15BF">
        <w:rPr>
          <w:rFonts w:cs="Arial"/>
          <w:sz w:val="20"/>
          <w:szCs w:val="20"/>
        </w:rPr>
        <w:t>387-415</w:t>
      </w:r>
      <w:r w:rsidR="007C15BF">
        <w:rPr>
          <w:rFonts w:cs="Arial"/>
          <w:sz w:val="20"/>
          <w:szCs w:val="20"/>
        </w:rPr>
        <w:t>.</w:t>
      </w:r>
    </w:p>
    <w:p w:rsidR="005E0141" w:rsidRPr="007C15BF" w:rsidRDefault="005E0141" w:rsidP="00292ECE">
      <w:pPr>
        <w:rPr>
          <w:sz w:val="20"/>
          <w:szCs w:val="20"/>
          <w:highlight w:val="yellow"/>
        </w:rPr>
      </w:pPr>
    </w:p>
    <w:p w:rsidR="00A75506" w:rsidRPr="007C15BF" w:rsidRDefault="001D69D7" w:rsidP="00292ECE">
      <w:pPr>
        <w:rPr>
          <w:rFonts w:cs="Tahoma"/>
          <w:b/>
          <w:sz w:val="20"/>
          <w:szCs w:val="20"/>
        </w:rPr>
      </w:pPr>
      <w:r>
        <w:rPr>
          <w:rFonts w:cs="Tahoma"/>
          <w:b/>
          <w:sz w:val="20"/>
          <w:szCs w:val="20"/>
        </w:rPr>
        <w:t xml:space="preserve">Oct. 11. </w:t>
      </w:r>
      <w:r w:rsidR="0029499A" w:rsidRPr="007C15BF">
        <w:rPr>
          <w:rFonts w:cs="Tahoma"/>
          <w:b/>
          <w:sz w:val="20"/>
          <w:szCs w:val="20"/>
        </w:rPr>
        <w:t xml:space="preserve">5. </w:t>
      </w:r>
      <w:r w:rsidR="007C15BF" w:rsidRPr="007C15BF">
        <w:rPr>
          <w:rFonts w:cs="Tahoma"/>
          <w:b/>
          <w:sz w:val="20"/>
          <w:szCs w:val="20"/>
        </w:rPr>
        <w:t>Markets,</w:t>
      </w:r>
      <w:r w:rsidR="00477B18" w:rsidRPr="007C15BF">
        <w:rPr>
          <w:rFonts w:cs="Tahoma"/>
          <w:b/>
          <w:sz w:val="20"/>
          <w:szCs w:val="20"/>
        </w:rPr>
        <w:t xml:space="preserve"> </w:t>
      </w:r>
      <w:r w:rsidR="00695BB7" w:rsidRPr="007C15BF">
        <w:rPr>
          <w:rFonts w:cs="Tahoma"/>
          <w:b/>
          <w:sz w:val="20"/>
          <w:szCs w:val="20"/>
        </w:rPr>
        <w:t>Commodities</w:t>
      </w:r>
      <w:r w:rsidR="007C15BF">
        <w:rPr>
          <w:rFonts w:cs="Tahoma"/>
          <w:b/>
          <w:sz w:val="20"/>
          <w:szCs w:val="20"/>
        </w:rPr>
        <w:t>, Consumption</w:t>
      </w:r>
    </w:p>
    <w:p w:rsidR="00477B18" w:rsidRPr="007C15BF" w:rsidRDefault="00477B18" w:rsidP="00292ECE">
      <w:pPr>
        <w:rPr>
          <w:rFonts w:cs="Tahoma"/>
          <w:sz w:val="20"/>
          <w:szCs w:val="20"/>
        </w:rPr>
      </w:pPr>
    </w:p>
    <w:p w:rsidR="004734B7" w:rsidRPr="007C15BF" w:rsidRDefault="00A75506" w:rsidP="004734B7">
      <w:pPr>
        <w:rPr>
          <w:rFonts w:cs="Tahoma"/>
          <w:sz w:val="20"/>
          <w:szCs w:val="20"/>
        </w:rPr>
      </w:pPr>
      <w:r w:rsidRPr="007C15BF">
        <w:rPr>
          <w:rFonts w:cs="Tahoma"/>
          <w:sz w:val="20"/>
          <w:szCs w:val="20"/>
        </w:rPr>
        <w:t xml:space="preserve">Sven Beckert, </w:t>
      </w:r>
      <w:r w:rsidRPr="007C15BF">
        <w:rPr>
          <w:rFonts w:cs="Tahoma"/>
          <w:bCs/>
          <w:i/>
          <w:sz w:val="20"/>
          <w:szCs w:val="20"/>
        </w:rPr>
        <w:t>Empire of Cotton: A Global History</w:t>
      </w:r>
      <w:r w:rsidRPr="007C15BF">
        <w:rPr>
          <w:rFonts w:cs="Tahoma"/>
          <w:sz w:val="20"/>
          <w:szCs w:val="20"/>
        </w:rPr>
        <w:t xml:space="preserve"> (</w:t>
      </w:r>
      <w:r w:rsidR="004734B7" w:rsidRPr="007C15BF">
        <w:rPr>
          <w:rFonts w:cs="Tahoma"/>
          <w:sz w:val="20"/>
          <w:szCs w:val="20"/>
        </w:rPr>
        <w:t>Knopf, 2014</w:t>
      </w:r>
      <w:r w:rsidR="003F755F" w:rsidRPr="007C15BF">
        <w:rPr>
          <w:rFonts w:cs="Tahoma"/>
          <w:sz w:val="20"/>
          <w:szCs w:val="20"/>
        </w:rPr>
        <w:t>)</w:t>
      </w:r>
      <w:r w:rsidR="00477B18" w:rsidRPr="007C15BF">
        <w:rPr>
          <w:rFonts w:cs="Tahoma"/>
          <w:sz w:val="20"/>
          <w:szCs w:val="20"/>
        </w:rPr>
        <w:t xml:space="preserve">  *#</w:t>
      </w:r>
    </w:p>
    <w:p w:rsidR="003F755F" w:rsidRPr="007C15BF" w:rsidRDefault="00477B18" w:rsidP="0029499A">
      <w:pPr>
        <w:tabs>
          <w:tab w:val="left" w:pos="180"/>
          <w:tab w:val="left" w:pos="900"/>
        </w:tabs>
        <w:rPr>
          <w:rFonts w:cs="Arial"/>
          <w:sz w:val="20"/>
          <w:szCs w:val="20"/>
        </w:rPr>
      </w:pPr>
      <w:r w:rsidRPr="007C15BF">
        <w:rPr>
          <w:rFonts w:cs="Arial"/>
          <w:sz w:val="20"/>
          <w:szCs w:val="20"/>
        </w:rPr>
        <w:t xml:space="preserve">V. de Grazia, “The Crisis of Hyper-Consumerism: Capitalism’s Latest Lurch Forward,” in Juergen Kocka and Marcel Van der Linden,  </w:t>
      </w:r>
      <w:r w:rsidRPr="007C15BF">
        <w:rPr>
          <w:rFonts w:cs="Arial"/>
          <w:i/>
          <w:sz w:val="20"/>
          <w:szCs w:val="20"/>
        </w:rPr>
        <w:t>Capitalism: The Reemergence of a Historical Concept,</w:t>
      </w:r>
      <w:r w:rsidRPr="007C15BF">
        <w:rPr>
          <w:rFonts w:cs="Arial"/>
          <w:sz w:val="20"/>
          <w:szCs w:val="20"/>
        </w:rPr>
        <w:t xml:space="preserve"> (Bloomsbury, 2016) pp. 71-106 CW</w:t>
      </w:r>
    </w:p>
    <w:p w:rsidR="00477B18" w:rsidRPr="007C15BF" w:rsidRDefault="00477B18" w:rsidP="0029499A">
      <w:pPr>
        <w:tabs>
          <w:tab w:val="left" w:pos="180"/>
          <w:tab w:val="left" w:pos="900"/>
        </w:tabs>
        <w:rPr>
          <w:sz w:val="20"/>
          <w:szCs w:val="20"/>
        </w:rPr>
      </w:pPr>
    </w:p>
    <w:p w:rsidR="0029499A" w:rsidRPr="007C15BF" w:rsidRDefault="001D69D7" w:rsidP="0029499A">
      <w:pPr>
        <w:tabs>
          <w:tab w:val="left" w:pos="180"/>
          <w:tab w:val="left" w:pos="900"/>
        </w:tabs>
        <w:rPr>
          <w:b/>
          <w:sz w:val="20"/>
          <w:szCs w:val="20"/>
        </w:rPr>
      </w:pPr>
      <w:r>
        <w:rPr>
          <w:b/>
          <w:sz w:val="20"/>
          <w:szCs w:val="20"/>
        </w:rPr>
        <w:t>Oct. 18</w:t>
      </w:r>
      <w:r w:rsidR="00BA3AC5">
        <w:rPr>
          <w:b/>
          <w:sz w:val="20"/>
          <w:szCs w:val="20"/>
        </w:rPr>
        <w:t>.</w:t>
      </w:r>
      <w:r>
        <w:rPr>
          <w:b/>
          <w:sz w:val="20"/>
          <w:szCs w:val="20"/>
        </w:rPr>
        <w:t xml:space="preserve"> </w:t>
      </w:r>
      <w:r w:rsidR="00BA3AC5">
        <w:rPr>
          <w:b/>
          <w:sz w:val="20"/>
          <w:szCs w:val="20"/>
        </w:rPr>
        <w:t xml:space="preserve"> </w:t>
      </w:r>
      <w:r w:rsidR="0029499A" w:rsidRPr="007C15BF">
        <w:rPr>
          <w:b/>
          <w:sz w:val="20"/>
          <w:szCs w:val="20"/>
        </w:rPr>
        <w:t xml:space="preserve">6. </w:t>
      </w:r>
      <w:r w:rsidR="003F755F" w:rsidRPr="007C15BF">
        <w:rPr>
          <w:b/>
          <w:sz w:val="20"/>
          <w:szCs w:val="20"/>
        </w:rPr>
        <w:t xml:space="preserve"> The</w:t>
      </w:r>
      <w:r w:rsidR="0029499A" w:rsidRPr="007C15BF">
        <w:rPr>
          <w:b/>
          <w:sz w:val="20"/>
          <w:szCs w:val="20"/>
        </w:rPr>
        <w:t xml:space="preserve"> State, Nation, Nationalisms </w:t>
      </w:r>
    </w:p>
    <w:p w:rsidR="0029499A" w:rsidRPr="007C15BF" w:rsidRDefault="0029499A" w:rsidP="0029499A">
      <w:pPr>
        <w:tabs>
          <w:tab w:val="left" w:pos="180"/>
          <w:tab w:val="left" w:pos="900"/>
        </w:tabs>
        <w:rPr>
          <w:sz w:val="20"/>
          <w:szCs w:val="20"/>
        </w:rPr>
      </w:pPr>
    </w:p>
    <w:p w:rsidR="0029499A" w:rsidRPr="007C15BF" w:rsidRDefault="0029499A" w:rsidP="0029499A">
      <w:pPr>
        <w:tabs>
          <w:tab w:val="left" w:pos="180"/>
          <w:tab w:val="left" w:pos="900"/>
        </w:tabs>
        <w:rPr>
          <w:rFonts w:cs="Tahoma"/>
          <w:sz w:val="20"/>
          <w:szCs w:val="20"/>
        </w:rPr>
      </w:pPr>
      <w:r w:rsidRPr="007C15BF">
        <w:rPr>
          <w:rFonts w:cs="Tahoma"/>
          <w:sz w:val="20"/>
          <w:szCs w:val="20"/>
        </w:rPr>
        <w:t xml:space="preserve">Benedict Anderson, </w:t>
      </w:r>
      <w:r w:rsidRPr="007C15BF">
        <w:rPr>
          <w:rFonts w:cs="Tahoma"/>
          <w:i/>
          <w:sz w:val="20"/>
          <w:szCs w:val="20"/>
        </w:rPr>
        <w:t>Imagined Communities: Reflections on the Origin and Spread of Nationalism,</w:t>
      </w:r>
      <w:r w:rsidRPr="007C15BF">
        <w:rPr>
          <w:rFonts w:cs="Tahoma"/>
          <w:sz w:val="20"/>
          <w:szCs w:val="20"/>
        </w:rPr>
        <w:t xml:space="preserve"> 2</w:t>
      </w:r>
      <w:r w:rsidRPr="007C15BF">
        <w:rPr>
          <w:rFonts w:cs="Tahoma"/>
          <w:sz w:val="20"/>
          <w:szCs w:val="20"/>
          <w:vertAlign w:val="superscript"/>
        </w:rPr>
        <w:t>nd</w:t>
      </w:r>
      <w:r w:rsidRPr="007C15BF">
        <w:rPr>
          <w:rFonts w:cs="Tahoma"/>
          <w:sz w:val="20"/>
          <w:szCs w:val="20"/>
        </w:rPr>
        <w:t xml:space="preserve"> ed. </w:t>
      </w:r>
      <w:r w:rsidR="003F755F" w:rsidRPr="007C15BF">
        <w:rPr>
          <w:rFonts w:cs="Tahoma"/>
          <w:sz w:val="20"/>
          <w:szCs w:val="20"/>
        </w:rPr>
        <w:t>(</w:t>
      </w:r>
      <w:r w:rsidRPr="007C15BF">
        <w:rPr>
          <w:rFonts w:cs="Tahoma"/>
          <w:sz w:val="20"/>
          <w:szCs w:val="20"/>
        </w:rPr>
        <w:t>Verso, 1991)</w:t>
      </w:r>
      <w:r w:rsidR="00477B18" w:rsidRPr="007C15BF">
        <w:rPr>
          <w:rFonts w:cs="Tahoma"/>
          <w:sz w:val="20"/>
          <w:szCs w:val="20"/>
        </w:rPr>
        <w:t xml:space="preserve">  *#</w:t>
      </w:r>
    </w:p>
    <w:p w:rsidR="0029499A" w:rsidRPr="007C15BF" w:rsidRDefault="0029499A" w:rsidP="0029499A">
      <w:pPr>
        <w:tabs>
          <w:tab w:val="left" w:pos="180"/>
          <w:tab w:val="left" w:pos="900"/>
        </w:tabs>
        <w:rPr>
          <w:rFonts w:cs="Tahoma"/>
          <w:sz w:val="20"/>
          <w:szCs w:val="20"/>
        </w:rPr>
      </w:pPr>
      <w:r w:rsidRPr="007C15BF">
        <w:rPr>
          <w:rFonts w:cs="Tahoma"/>
          <w:sz w:val="20"/>
          <w:szCs w:val="20"/>
        </w:rPr>
        <w:t xml:space="preserve">Prasenjit Duara, “The Global and Regional Constitution of Nations: The View from East Asia,” </w:t>
      </w:r>
      <w:r w:rsidRPr="007C15BF">
        <w:rPr>
          <w:rFonts w:cs="Tahoma"/>
          <w:i/>
          <w:iCs/>
          <w:sz w:val="20"/>
          <w:szCs w:val="20"/>
        </w:rPr>
        <w:t xml:space="preserve">Nations and Nationalism </w:t>
      </w:r>
      <w:r w:rsidR="003F755F" w:rsidRPr="007C15BF">
        <w:rPr>
          <w:rFonts w:cs="Tahoma"/>
          <w:sz w:val="20"/>
          <w:szCs w:val="20"/>
        </w:rPr>
        <w:t>14:2 (2008): 323 – 345 CW</w:t>
      </w:r>
      <w:r w:rsidRPr="007C15BF">
        <w:rPr>
          <w:rFonts w:cs="Tahoma"/>
          <w:sz w:val="20"/>
          <w:szCs w:val="20"/>
        </w:rPr>
        <w:t xml:space="preserve"> </w:t>
      </w:r>
    </w:p>
    <w:p w:rsidR="0029499A" w:rsidRPr="007C15BF" w:rsidRDefault="0029499A" w:rsidP="0029499A">
      <w:pPr>
        <w:rPr>
          <w:rFonts w:cs="Tahoma"/>
          <w:sz w:val="20"/>
          <w:szCs w:val="20"/>
        </w:rPr>
      </w:pPr>
      <w:r w:rsidRPr="007C15BF">
        <w:rPr>
          <w:rFonts w:cs="Tahoma"/>
          <w:sz w:val="20"/>
          <w:szCs w:val="20"/>
        </w:rPr>
        <w:t>Michael Geyer and Charles Bright, “Global Violence and Nationalizing Wars in Eurasia and America: The Geopolitics of War in the Mid-Nineteenth Century,”</w:t>
      </w:r>
    </w:p>
    <w:p w:rsidR="0029499A" w:rsidRPr="007C15BF" w:rsidRDefault="0029499A" w:rsidP="0029499A">
      <w:pPr>
        <w:rPr>
          <w:rFonts w:cs="Tahoma"/>
          <w:sz w:val="20"/>
          <w:szCs w:val="20"/>
        </w:rPr>
      </w:pPr>
      <w:r w:rsidRPr="007C15BF">
        <w:rPr>
          <w:rFonts w:cs="Tahoma"/>
          <w:i/>
          <w:iCs/>
          <w:sz w:val="20"/>
          <w:szCs w:val="20"/>
        </w:rPr>
        <w:t>Comparative Studies in Society and History</w:t>
      </w:r>
      <w:r w:rsidRPr="007C15BF">
        <w:rPr>
          <w:rFonts w:cs="Tahoma"/>
          <w:sz w:val="20"/>
          <w:szCs w:val="20"/>
        </w:rPr>
        <w:t xml:space="preserve"> 38</w:t>
      </w:r>
      <w:r w:rsidR="003F755F" w:rsidRPr="007C15BF">
        <w:rPr>
          <w:rFonts w:cs="Tahoma"/>
          <w:sz w:val="20"/>
          <w:szCs w:val="20"/>
        </w:rPr>
        <w:t>:4 (Oct.</w:t>
      </w:r>
      <w:r w:rsidRPr="007C15BF">
        <w:rPr>
          <w:rFonts w:cs="Tahoma"/>
          <w:sz w:val="20"/>
          <w:szCs w:val="20"/>
        </w:rPr>
        <w:t xml:space="preserve"> 1996), pp. 619-657</w:t>
      </w:r>
      <w:r w:rsidR="003F755F" w:rsidRPr="007C15BF">
        <w:rPr>
          <w:rFonts w:cs="Tahoma"/>
          <w:sz w:val="20"/>
          <w:szCs w:val="20"/>
        </w:rPr>
        <w:t xml:space="preserve"> CW</w:t>
      </w:r>
    </w:p>
    <w:p w:rsidR="000603C4" w:rsidRPr="007C15BF" w:rsidRDefault="000603C4" w:rsidP="00292ECE">
      <w:pPr>
        <w:rPr>
          <w:rFonts w:cs="Tahoma"/>
          <w:sz w:val="20"/>
          <w:szCs w:val="20"/>
        </w:rPr>
      </w:pPr>
    </w:p>
    <w:p w:rsidR="000603C4" w:rsidRPr="00D53283" w:rsidRDefault="001D69D7" w:rsidP="00292ECE">
      <w:pPr>
        <w:rPr>
          <w:rFonts w:cs="Tahoma"/>
          <w:b/>
          <w:sz w:val="20"/>
          <w:szCs w:val="20"/>
        </w:rPr>
      </w:pPr>
      <w:r>
        <w:rPr>
          <w:rFonts w:cs="Tahoma"/>
          <w:b/>
          <w:sz w:val="20"/>
          <w:szCs w:val="20"/>
        </w:rPr>
        <w:t xml:space="preserve">Oct 25. </w:t>
      </w:r>
      <w:r w:rsidR="0029499A" w:rsidRPr="00D53283">
        <w:rPr>
          <w:rFonts w:cs="Tahoma"/>
          <w:b/>
          <w:sz w:val="20"/>
          <w:szCs w:val="20"/>
        </w:rPr>
        <w:t>7</w:t>
      </w:r>
      <w:r w:rsidR="0051277A" w:rsidRPr="00D53283">
        <w:rPr>
          <w:rFonts w:cs="Tahoma"/>
          <w:b/>
          <w:sz w:val="20"/>
          <w:szCs w:val="20"/>
        </w:rPr>
        <w:t>.</w:t>
      </w:r>
      <w:r w:rsidR="007C15BF" w:rsidRPr="00D53283">
        <w:rPr>
          <w:rFonts w:cs="Tahoma"/>
          <w:b/>
          <w:sz w:val="20"/>
          <w:szCs w:val="20"/>
        </w:rPr>
        <w:t xml:space="preserve"> Gender, Race, Sex</w:t>
      </w:r>
      <w:r w:rsidR="003F5B69" w:rsidRPr="00D53283">
        <w:rPr>
          <w:rFonts w:cs="Tahoma"/>
          <w:b/>
          <w:sz w:val="20"/>
          <w:szCs w:val="20"/>
        </w:rPr>
        <w:t xml:space="preserve"> </w:t>
      </w:r>
    </w:p>
    <w:p w:rsidR="0051277A" w:rsidRPr="007C15BF" w:rsidRDefault="0051277A" w:rsidP="00292ECE">
      <w:pPr>
        <w:rPr>
          <w:rFonts w:cs="Tahoma"/>
          <w:sz w:val="20"/>
          <w:szCs w:val="20"/>
        </w:rPr>
      </w:pPr>
    </w:p>
    <w:p w:rsidR="00397993" w:rsidRPr="007C15BF" w:rsidRDefault="000603C4" w:rsidP="00292ECE">
      <w:pPr>
        <w:widowControl w:val="0"/>
        <w:autoSpaceDE w:val="0"/>
        <w:autoSpaceDN w:val="0"/>
        <w:adjustRightInd w:val="0"/>
        <w:rPr>
          <w:rFonts w:ascii="Times New Roman" w:hAnsi="Times New Roman" w:cs="Times New Roman"/>
          <w:sz w:val="20"/>
          <w:szCs w:val="20"/>
        </w:rPr>
      </w:pPr>
      <w:r w:rsidRPr="007C15BF">
        <w:rPr>
          <w:rFonts w:ascii="Times New Roman" w:hAnsi="Times New Roman" w:cs="Times New Roman"/>
          <w:sz w:val="20"/>
          <w:szCs w:val="20"/>
        </w:rPr>
        <w:t>S. Schneewind, “Reconsidering Sati in Universal Context</w:t>
      </w:r>
      <w:r w:rsidR="00A570D0">
        <w:rPr>
          <w:rFonts w:ascii="Times New Roman" w:hAnsi="Times New Roman" w:cs="Times New Roman"/>
          <w:sz w:val="20"/>
          <w:szCs w:val="20"/>
        </w:rPr>
        <w:t>,”</w:t>
      </w:r>
      <w:r w:rsidRPr="007C15BF">
        <w:rPr>
          <w:rFonts w:ascii="Times New Roman" w:hAnsi="Times New Roman" w:cs="Times New Roman"/>
          <w:sz w:val="20"/>
          <w:szCs w:val="20"/>
        </w:rPr>
        <w:t xml:space="preserve"> </w:t>
      </w:r>
      <w:r w:rsidRPr="007C15BF">
        <w:rPr>
          <w:rFonts w:ascii="Times New Roman" w:hAnsi="Times New Roman" w:cs="Times New Roman"/>
          <w:i/>
          <w:sz w:val="20"/>
          <w:szCs w:val="20"/>
        </w:rPr>
        <w:t>Journal of World History</w:t>
      </w:r>
      <w:r w:rsidR="0051277A" w:rsidRPr="007C15BF">
        <w:rPr>
          <w:rFonts w:ascii="Times New Roman" w:hAnsi="Times New Roman" w:cs="Times New Roman"/>
          <w:i/>
          <w:sz w:val="20"/>
          <w:szCs w:val="20"/>
        </w:rPr>
        <w:t xml:space="preserve"> </w:t>
      </w:r>
      <w:r w:rsidR="00022537" w:rsidRPr="007C15BF">
        <w:rPr>
          <w:rFonts w:ascii="Times New Roman" w:hAnsi="Times New Roman" w:cs="Times New Roman"/>
          <w:sz w:val="20"/>
          <w:szCs w:val="20"/>
        </w:rPr>
        <w:t>18:</w:t>
      </w:r>
      <w:r w:rsidRPr="007C15BF">
        <w:rPr>
          <w:rFonts w:ascii="Times New Roman" w:hAnsi="Times New Roman" w:cs="Times New Roman"/>
          <w:sz w:val="20"/>
          <w:szCs w:val="20"/>
        </w:rPr>
        <w:t xml:space="preserve"> 3</w:t>
      </w:r>
      <w:r w:rsidR="00022537" w:rsidRPr="007C15BF">
        <w:rPr>
          <w:rFonts w:ascii="Times New Roman" w:hAnsi="Times New Roman" w:cs="Times New Roman"/>
          <w:sz w:val="20"/>
          <w:szCs w:val="20"/>
        </w:rPr>
        <w:t xml:space="preserve"> (2007) </w:t>
      </w:r>
      <w:r w:rsidRPr="007C15BF">
        <w:rPr>
          <w:rFonts w:ascii="Times New Roman" w:hAnsi="Times New Roman" w:cs="Times New Roman"/>
          <w:sz w:val="20"/>
          <w:szCs w:val="20"/>
        </w:rPr>
        <w:t>353- 368</w:t>
      </w:r>
      <w:r w:rsidR="007C15BF">
        <w:rPr>
          <w:rFonts w:ascii="Times New Roman" w:hAnsi="Times New Roman" w:cs="Times New Roman"/>
          <w:sz w:val="20"/>
          <w:szCs w:val="20"/>
        </w:rPr>
        <w:t xml:space="preserve">.  </w:t>
      </w:r>
      <w:r w:rsidR="00022537" w:rsidRPr="007C15BF">
        <w:rPr>
          <w:rFonts w:ascii="Times New Roman" w:hAnsi="Times New Roman" w:cs="Times New Roman"/>
          <w:sz w:val="20"/>
          <w:szCs w:val="20"/>
        </w:rPr>
        <w:t>CW</w:t>
      </w:r>
    </w:p>
    <w:p w:rsidR="00397993" w:rsidRPr="007C15BF" w:rsidRDefault="00397993" w:rsidP="00397993">
      <w:pPr>
        <w:rPr>
          <w:sz w:val="20"/>
          <w:szCs w:val="20"/>
        </w:rPr>
      </w:pPr>
      <w:r w:rsidRPr="007C15BF">
        <w:rPr>
          <w:sz w:val="20"/>
          <w:szCs w:val="20"/>
        </w:rPr>
        <w:t xml:space="preserve">Sandra Ponzanesi, ‘The Color of Love: </w:t>
      </w:r>
      <w:r w:rsidRPr="007C15BF">
        <w:rPr>
          <w:i/>
          <w:sz w:val="20"/>
          <w:szCs w:val="20"/>
        </w:rPr>
        <w:t>Madamismo</w:t>
      </w:r>
      <w:r w:rsidRPr="007C15BF">
        <w:rPr>
          <w:sz w:val="20"/>
          <w:szCs w:val="20"/>
        </w:rPr>
        <w:t xml:space="preserve"> and Interracial Relations in the Italian Colonies</w:t>
      </w:r>
      <w:r w:rsidR="00A570D0">
        <w:rPr>
          <w:sz w:val="20"/>
          <w:szCs w:val="20"/>
        </w:rPr>
        <w:t xml:space="preserve">,” </w:t>
      </w:r>
      <w:r w:rsidRPr="007C15BF">
        <w:rPr>
          <w:i/>
          <w:sz w:val="20"/>
          <w:szCs w:val="20"/>
        </w:rPr>
        <w:t>Research on African Literature</w:t>
      </w:r>
      <w:r w:rsidR="00A570D0">
        <w:rPr>
          <w:sz w:val="20"/>
          <w:szCs w:val="20"/>
        </w:rPr>
        <w:t>, 43: 2</w:t>
      </w:r>
      <w:r w:rsidRPr="007C15BF">
        <w:rPr>
          <w:sz w:val="20"/>
          <w:szCs w:val="20"/>
        </w:rPr>
        <w:t>(Summer, 2012), 155-172</w:t>
      </w:r>
      <w:r w:rsidR="007C15BF">
        <w:rPr>
          <w:sz w:val="20"/>
          <w:szCs w:val="20"/>
        </w:rPr>
        <w:t>. CW</w:t>
      </w:r>
    </w:p>
    <w:p w:rsidR="00397993" w:rsidRPr="007C15BF" w:rsidRDefault="00397993" w:rsidP="00397993">
      <w:pPr>
        <w:widowControl w:val="0"/>
        <w:autoSpaceDE w:val="0"/>
        <w:autoSpaceDN w:val="0"/>
        <w:adjustRightInd w:val="0"/>
        <w:rPr>
          <w:sz w:val="20"/>
          <w:szCs w:val="20"/>
        </w:rPr>
      </w:pPr>
      <w:r w:rsidRPr="007C15BF">
        <w:rPr>
          <w:sz w:val="20"/>
          <w:szCs w:val="20"/>
        </w:rPr>
        <w:t>Richa Nagar, Victoria Lawson, Linda McDowell and Susan Hanson</w:t>
      </w:r>
    </w:p>
    <w:p w:rsidR="006C35C0" w:rsidRPr="007C15BF" w:rsidRDefault="0051277A" w:rsidP="00292ECE">
      <w:pPr>
        <w:widowControl w:val="0"/>
        <w:autoSpaceDE w:val="0"/>
        <w:autoSpaceDN w:val="0"/>
        <w:adjustRightInd w:val="0"/>
        <w:rPr>
          <w:sz w:val="20"/>
          <w:szCs w:val="20"/>
        </w:rPr>
      </w:pPr>
      <w:r w:rsidRPr="007C15BF">
        <w:rPr>
          <w:sz w:val="20"/>
          <w:szCs w:val="20"/>
        </w:rPr>
        <w:t>“</w:t>
      </w:r>
      <w:r w:rsidR="00397993" w:rsidRPr="007C15BF">
        <w:rPr>
          <w:sz w:val="20"/>
          <w:szCs w:val="20"/>
        </w:rPr>
        <w:t xml:space="preserve">Economic Geography </w:t>
      </w:r>
      <w:r w:rsidR="006C35C0" w:rsidRPr="007C15BF">
        <w:rPr>
          <w:sz w:val="20"/>
          <w:szCs w:val="20"/>
        </w:rPr>
        <w:t>Locating Globalization: Feminist (Re)readings of the Subjects and Spaces of Globalization</w:t>
      </w:r>
      <w:r w:rsidRPr="007C15BF">
        <w:rPr>
          <w:sz w:val="20"/>
          <w:szCs w:val="20"/>
        </w:rPr>
        <w:t xml:space="preserve">,” </w:t>
      </w:r>
      <w:r w:rsidR="00397993" w:rsidRPr="007C15BF">
        <w:rPr>
          <w:sz w:val="20"/>
          <w:szCs w:val="20"/>
        </w:rPr>
        <w:t xml:space="preserve"> </w:t>
      </w:r>
      <w:r w:rsidR="006C35C0" w:rsidRPr="007C15BF">
        <w:rPr>
          <w:sz w:val="20"/>
          <w:szCs w:val="20"/>
        </w:rPr>
        <w:t>Vol. 78, No. 3 (Jul</w:t>
      </w:r>
      <w:r w:rsidR="00A570D0">
        <w:rPr>
          <w:sz w:val="20"/>
          <w:szCs w:val="20"/>
        </w:rPr>
        <w:t>y,</w:t>
      </w:r>
      <w:r w:rsidR="006C35C0" w:rsidRPr="007C15BF">
        <w:rPr>
          <w:sz w:val="20"/>
          <w:szCs w:val="20"/>
        </w:rPr>
        <w:t xml:space="preserve"> 2002), 257-284</w:t>
      </w:r>
      <w:r w:rsidR="007C15BF">
        <w:rPr>
          <w:sz w:val="20"/>
          <w:szCs w:val="20"/>
        </w:rPr>
        <w:t xml:space="preserve"> CW</w:t>
      </w:r>
    </w:p>
    <w:p w:rsidR="006C35C0" w:rsidRPr="007C15BF" w:rsidRDefault="006C35C0" w:rsidP="00292ECE">
      <w:pPr>
        <w:widowControl w:val="0"/>
        <w:autoSpaceDE w:val="0"/>
        <w:autoSpaceDN w:val="0"/>
        <w:adjustRightInd w:val="0"/>
        <w:rPr>
          <w:sz w:val="20"/>
          <w:szCs w:val="20"/>
        </w:rPr>
      </w:pPr>
      <w:r w:rsidRPr="007C15BF">
        <w:rPr>
          <w:sz w:val="20"/>
          <w:szCs w:val="20"/>
        </w:rPr>
        <w:t xml:space="preserve"> http://www.jstor.org/stable/4140810</w:t>
      </w:r>
    </w:p>
    <w:p w:rsidR="00022537" w:rsidRPr="007C15BF" w:rsidRDefault="00022537" w:rsidP="00022537">
      <w:pPr>
        <w:rPr>
          <w:sz w:val="20"/>
          <w:szCs w:val="20"/>
          <w:highlight w:val="yellow"/>
        </w:rPr>
      </w:pPr>
    </w:p>
    <w:p w:rsidR="00022537" w:rsidRPr="00D53283" w:rsidRDefault="001D69D7" w:rsidP="00022537">
      <w:pPr>
        <w:rPr>
          <w:b/>
          <w:sz w:val="20"/>
          <w:szCs w:val="20"/>
        </w:rPr>
      </w:pPr>
      <w:r>
        <w:rPr>
          <w:b/>
          <w:sz w:val="20"/>
          <w:szCs w:val="20"/>
        </w:rPr>
        <w:t xml:space="preserve">Nov. 1.  </w:t>
      </w:r>
      <w:r w:rsidR="00022537" w:rsidRPr="00D53283">
        <w:rPr>
          <w:b/>
          <w:sz w:val="20"/>
          <w:szCs w:val="20"/>
        </w:rPr>
        <w:t xml:space="preserve">8. </w:t>
      </w:r>
      <w:r w:rsidR="00A570D0">
        <w:rPr>
          <w:b/>
          <w:sz w:val="20"/>
          <w:szCs w:val="20"/>
        </w:rPr>
        <w:t xml:space="preserve"> </w:t>
      </w:r>
      <w:r w:rsidR="00A570D0" w:rsidRPr="00D53283">
        <w:rPr>
          <w:b/>
          <w:sz w:val="20"/>
          <w:szCs w:val="20"/>
        </w:rPr>
        <w:t>Cultural Power in World Order</w:t>
      </w:r>
      <w:r w:rsidR="00A570D0">
        <w:rPr>
          <w:b/>
          <w:sz w:val="20"/>
          <w:szCs w:val="20"/>
        </w:rPr>
        <w:t xml:space="preserve"> </w:t>
      </w:r>
    </w:p>
    <w:p w:rsidR="00A570D0" w:rsidRPr="007C15BF" w:rsidRDefault="00A570D0" w:rsidP="00A570D0">
      <w:pPr>
        <w:rPr>
          <w:rFonts w:cs="Helvetica"/>
          <w:color w:val="2F2F2F"/>
          <w:sz w:val="20"/>
          <w:szCs w:val="20"/>
        </w:rPr>
      </w:pPr>
      <w:r w:rsidRPr="007C15BF">
        <w:rPr>
          <w:sz w:val="20"/>
          <w:szCs w:val="20"/>
        </w:rPr>
        <w:t xml:space="preserve">Andrew Sartori, </w:t>
      </w:r>
      <w:r w:rsidRPr="007C15BF">
        <w:rPr>
          <w:i/>
          <w:sz w:val="20"/>
          <w:szCs w:val="20"/>
        </w:rPr>
        <w:t xml:space="preserve">Culturalism in the Age of Capital, </w:t>
      </w:r>
      <w:r w:rsidRPr="007C15BF">
        <w:rPr>
          <w:rFonts w:cs="Helvetica"/>
          <w:i/>
          <w:color w:val="2F2F2F"/>
          <w:sz w:val="20"/>
          <w:szCs w:val="20"/>
        </w:rPr>
        <w:t>Bengal in Global Concept History</w:t>
      </w:r>
      <w:r w:rsidRPr="007C15BF">
        <w:rPr>
          <w:rFonts w:cs="Helvetica"/>
          <w:color w:val="2F2F2F"/>
          <w:sz w:val="20"/>
          <w:szCs w:val="20"/>
        </w:rPr>
        <w:t>,  2008 selected chapters  *#</w:t>
      </w:r>
    </w:p>
    <w:p w:rsidR="00A570D0" w:rsidRPr="007C15BF" w:rsidRDefault="00A570D0" w:rsidP="00A570D0">
      <w:pPr>
        <w:rPr>
          <w:sz w:val="20"/>
          <w:szCs w:val="20"/>
        </w:rPr>
      </w:pPr>
      <w:r w:rsidRPr="007C15BF">
        <w:rPr>
          <w:sz w:val="20"/>
          <w:szCs w:val="20"/>
        </w:rPr>
        <w:t xml:space="preserve">Sanjay Subrahmanyam,  “Global Intellectual History beyond Hegel and Marx,” </w:t>
      </w:r>
      <w:r w:rsidRPr="007C15BF">
        <w:rPr>
          <w:i/>
          <w:sz w:val="20"/>
          <w:szCs w:val="20"/>
        </w:rPr>
        <w:t>History and Theory</w:t>
      </w:r>
      <w:r w:rsidRPr="007C15BF">
        <w:rPr>
          <w:sz w:val="20"/>
          <w:szCs w:val="20"/>
        </w:rPr>
        <w:t>, 54, (2015)  126–137  CW</w:t>
      </w:r>
    </w:p>
    <w:p w:rsidR="00A570D0" w:rsidRPr="007C15BF" w:rsidRDefault="00A570D0" w:rsidP="00A570D0">
      <w:pPr>
        <w:widowControl w:val="0"/>
        <w:autoSpaceDE w:val="0"/>
        <w:autoSpaceDN w:val="0"/>
        <w:adjustRightInd w:val="0"/>
        <w:rPr>
          <w:sz w:val="20"/>
          <w:szCs w:val="20"/>
        </w:rPr>
      </w:pPr>
      <w:r w:rsidRPr="007C15BF">
        <w:rPr>
          <w:rFonts w:cs="Arial"/>
          <w:color w:val="212121"/>
          <w:sz w:val="20"/>
          <w:szCs w:val="20"/>
        </w:rPr>
        <w:t xml:space="preserve">Samuel Moyn and Andrew Sartori, “What is Global Intellectual History – If It Should Exist At All? </w:t>
      </w:r>
      <w:r w:rsidRPr="007C15BF">
        <w:rPr>
          <w:rFonts w:cs="Arial"/>
          <w:i/>
          <w:color w:val="212121"/>
          <w:sz w:val="20"/>
          <w:szCs w:val="20"/>
        </w:rPr>
        <w:t>CIGH Exeter</w:t>
      </w:r>
      <w:r w:rsidRPr="007C15BF">
        <w:rPr>
          <w:rFonts w:cs="Arial"/>
          <w:color w:val="212121"/>
          <w:sz w:val="20"/>
          <w:szCs w:val="20"/>
        </w:rPr>
        <w:t>, February 23, 2015  CW</w:t>
      </w:r>
    </w:p>
    <w:p w:rsidR="00A570D0" w:rsidRDefault="00A570D0" w:rsidP="00A570D0">
      <w:pPr>
        <w:widowControl w:val="0"/>
        <w:autoSpaceDE w:val="0"/>
        <w:autoSpaceDN w:val="0"/>
        <w:adjustRightInd w:val="0"/>
        <w:rPr>
          <w:b/>
          <w:sz w:val="20"/>
          <w:szCs w:val="20"/>
        </w:rPr>
      </w:pPr>
    </w:p>
    <w:p w:rsidR="0051277A" w:rsidRPr="00D53283" w:rsidRDefault="001D69D7" w:rsidP="0051277A">
      <w:pPr>
        <w:widowControl w:val="0"/>
        <w:autoSpaceDE w:val="0"/>
        <w:autoSpaceDN w:val="0"/>
        <w:adjustRightInd w:val="0"/>
        <w:rPr>
          <w:b/>
          <w:sz w:val="20"/>
          <w:szCs w:val="20"/>
        </w:rPr>
      </w:pPr>
      <w:r>
        <w:rPr>
          <w:b/>
          <w:sz w:val="20"/>
          <w:szCs w:val="20"/>
        </w:rPr>
        <w:t xml:space="preserve">Nov. 15. </w:t>
      </w:r>
      <w:r w:rsidR="00022537" w:rsidRPr="00D53283">
        <w:rPr>
          <w:b/>
          <w:sz w:val="20"/>
          <w:szCs w:val="20"/>
        </w:rPr>
        <w:t>9.</w:t>
      </w:r>
      <w:r w:rsidR="0051277A" w:rsidRPr="00D53283">
        <w:rPr>
          <w:b/>
          <w:sz w:val="20"/>
          <w:szCs w:val="20"/>
        </w:rPr>
        <w:t xml:space="preserve"> </w:t>
      </w:r>
      <w:r w:rsidR="00D53283">
        <w:rPr>
          <w:b/>
          <w:sz w:val="20"/>
          <w:szCs w:val="20"/>
        </w:rPr>
        <w:t>Conflicting</w:t>
      </w:r>
      <w:r w:rsidR="0051277A" w:rsidRPr="00D53283">
        <w:rPr>
          <w:b/>
          <w:sz w:val="20"/>
          <w:szCs w:val="20"/>
        </w:rPr>
        <w:t xml:space="preserve"> </w:t>
      </w:r>
      <w:r w:rsidR="00022537" w:rsidRPr="00D53283">
        <w:rPr>
          <w:b/>
          <w:sz w:val="20"/>
          <w:szCs w:val="20"/>
        </w:rPr>
        <w:t>Global Orders</w:t>
      </w:r>
      <w:r w:rsidR="0051277A" w:rsidRPr="00D53283">
        <w:rPr>
          <w:b/>
          <w:sz w:val="20"/>
          <w:szCs w:val="20"/>
        </w:rPr>
        <w:t xml:space="preserve"> </w:t>
      </w:r>
    </w:p>
    <w:p w:rsidR="0051277A" w:rsidRPr="007C15BF" w:rsidRDefault="0051277A" w:rsidP="00022537">
      <w:pPr>
        <w:widowControl w:val="0"/>
        <w:autoSpaceDE w:val="0"/>
        <w:autoSpaceDN w:val="0"/>
        <w:adjustRightInd w:val="0"/>
        <w:rPr>
          <w:sz w:val="20"/>
          <w:szCs w:val="20"/>
        </w:rPr>
      </w:pPr>
      <w:r w:rsidRPr="007C15BF">
        <w:rPr>
          <w:sz w:val="20"/>
          <w:szCs w:val="20"/>
        </w:rPr>
        <w:t xml:space="preserve">Benjamin G. Martin, </w:t>
      </w:r>
      <w:r w:rsidRPr="007C15BF">
        <w:rPr>
          <w:i/>
          <w:iCs/>
          <w:sz w:val="20"/>
          <w:szCs w:val="20"/>
        </w:rPr>
        <w:t>The Nazi-Fascist New Order for European Culture</w:t>
      </w:r>
      <w:r w:rsidR="00022537" w:rsidRPr="007C15BF">
        <w:rPr>
          <w:sz w:val="20"/>
          <w:szCs w:val="20"/>
        </w:rPr>
        <w:t xml:space="preserve">, </w:t>
      </w:r>
      <w:r w:rsidR="00BA3AC5">
        <w:rPr>
          <w:sz w:val="20"/>
          <w:szCs w:val="20"/>
        </w:rPr>
        <w:t xml:space="preserve">(Harvard </w:t>
      </w:r>
      <w:r w:rsidR="00022537" w:rsidRPr="007C15BF">
        <w:rPr>
          <w:sz w:val="20"/>
          <w:szCs w:val="20"/>
        </w:rPr>
        <w:t>2016</w:t>
      </w:r>
      <w:r w:rsidR="00BA3AC5">
        <w:rPr>
          <w:sz w:val="20"/>
          <w:szCs w:val="20"/>
        </w:rPr>
        <w:t>)</w:t>
      </w:r>
      <w:r w:rsidR="00022537" w:rsidRPr="007C15BF">
        <w:rPr>
          <w:sz w:val="20"/>
          <w:szCs w:val="20"/>
        </w:rPr>
        <w:t>selected chapters</w:t>
      </w:r>
      <w:r w:rsidR="007C15BF" w:rsidRPr="007C15BF">
        <w:rPr>
          <w:sz w:val="20"/>
          <w:szCs w:val="20"/>
        </w:rPr>
        <w:t xml:space="preserve">  *#</w:t>
      </w:r>
    </w:p>
    <w:p w:rsidR="0051277A" w:rsidRPr="007C15BF" w:rsidRDefault="0051277A" w:rsidP="0051277A">
      <w:pPr>
        <w:rPr>
          <w:sz w:val="20"/>
          <w:szCs w:val="20"/>
        </w:rPr>
      </w:pPr>
      <w:r w:rsidRPr="007C15BF">
        <w:rPr>
          <w:sz w:val="20"/>
          <w:szCs w:val="20"/>
        </w:rPr>
        <w:t xml:space="preserve">Cemil Aydin, “Japan‟s Pan-Asianism and the Legitimacy of Imperial World Order, 1931–1945,” in  </w:t>
      </w:r>
      <w:r w:rsidRPr="007C15BF">
        <w:rPr>
          <w:i/>
          <w:sz w:val="20"/>
          <w:szCs w:val="20"/>
        </w:rPr>
        <w:t>Japan Focus: An Asia Pacific E-Journal</w:t>
      </w:r>
      <w:r w:rsidRPr="007C15BF">
        <w:rPr>
          <w:sz w:val="20"/>
          <w:szCs w:val="20"/>
        </w:rPr>
        <w:t>,(March 2008) accessible athttp://japanfocus.org/products/details/2695</w:t>
      </w:r>
      <w:r w:rsidR="007C15BF" w:rsidRPr="007C15BF">
        <w:rPr>
          <w:sz w:val="20"/>
          <w:szCs w:val="20"/>
        </w:rPr>
        <w:t xml:space="preserve"> CW</w:t>
      </w:r>
    </w:p>
    <w:p w:rsidR="0051277A" w:rsidRPr="007C15BF" w:rsidRDefault="0051277A" w:rsidP="0051277A">
      <w:pPr>
        <w:widowControl w:val="0"/>
        <w:autoSpaceDE w:val="0"/>
        <w:autoSpaceDN w:val="0"/>
        <w:adjustRightInd w:val="0"/>
        <w:rPr>
          <w:rFonts w:cs="Arial"/>
          <w:color w:val="212121"/>
          <w:sz w:val="20"/>
          <w:szCs w:val="20"/>
        </w:rPr>
      </w:pPr>
      <w:r w:rsidRPr="007C15BF">
        <w:rPr>
          <w:rFonts w:cs="Arial"/>
          <w:color w:val="212121"/>
          <w:sz w:val="20"/>
          <w:szCs w:val="20"/>
        </w:rPr>
        <w:t>Luigi Federzoni</w:t>
      </w:r>
      <w:r w:rsidR="00022537" w:rsidRPr="007C15BF">
        <w:rPr>
          <w:rFonts w:cs="Arial"/>
          <w:color w:val="212121"/>
          <w:sz w:val="20"/>
          <w:szCs w:val="20"/>
        </w:rPr>
        <w:t>, “</w:t>
      </w:r>
      <w:r w:rsidR="00022537" w:rsidRPr="007C15BF">
        <w:rPr>
          <w:rFonts w:cs="Arial"/>
          <w:b/>
          <w:bCs/>
          <w:color w:val="424242"/>
          <w:sz w:val="20"/>
          <w:szCs w:val="20"/>
        </w:rPr>
        <w:t xml:space="preserve"> </w:t>
      </w:r>
      <w:r w:rsidR="00022537" w:rsidRPr="007C15BF">
        <w:rPr>
          <w:rFonts w:cs="Arial"/>
          <w:color w:val="424242"/>
          <w:sz w:val="20"/>
          <w:szCs w:val="20"/>
        </w:rPr>
        <w:t xml:space="preserve">"Hegemony in the Mediterranean." </w:t>
      </w:r>
      <w:r w:rsidR="00022537" w:rsidRPr="007C15BF">
        <w:rPr>
          <w:rFonts w:cs="Arial"/>
          <w:bCs/>
          <w:i/>
          <w:color w:val="424242"/>
          <w:sz w:val="20"/>
          <w:szCs w:val="20"/>
        </w:rPr>
        <w:t>Foreign Affairs,</w:t>
      </w:r>
      <w:r w:rsidR="00022537" w:rsidRPr="007C15BF">
        <w:rPr>
          <w:rFonts w:cs="Arial"/>
          <w:color w:val="424242"/>
          <w:sz w:val="20"/>
          <w:szCs w:val="20"/>
        </w:rPr>
        <w:t xml:space="preserve"> 14 (April 1936) pp. 387-98.</w:t>
      </w:r>
      <w:r w:rsidR="007C15BF" w:rsidRPr="007C15BF">
        <w:rPr>
          <w:rFonts w:cs="Arial"/>
          <w:color w:val="424242"/>
          <w:sz w:val="20"/>
          <w:szCs w:val="20"/>
        </w:rPr>
        <w:t xml:space="preserve"> CW</w:t>
      </w:r>
    </w:p>
    <w:p w:rsidR="0051277A" w:rsidRPr="007C15BF" w:rsidRDefault="00022537" w:rsidP="0051277A">
      <w:pPr>
        <w:widowControl w:val="0"/>
        <w:autoSpaceDE w:val="0"/>
        <w:autoSpaceDN w:val="0"/>
        <w:adjustRightInd w:val="0"/>
        <w:rPr>
          <w:rFonts w:cs="Arial"/>
          <w:color w:val="212121"/>
          <w:sz w:val="20"/>
          <w:szCs w:val="20"/>
        </w:rPr>
      </w:pPr>
      <w:r w:rsidRPr="007C15BF">
        <w:rPr>
          <w:rFonts w:cs="Arial"/>
          <w:color w:val="212121"/>
          <w:sz w:val="20"/>
          <w:szCs w:val="20"/>
        </w:rPr>
        <w:t xml:space="preserve">E. H. Carr, </w:t>
      </w:r>
      <w:r w:rsidRPr="007C15BF">
        <w:rPr>
          <w:rFonts w:cs="Arial"/>
          <w:i/>
          <w:color w:val="212121"/>
          <w:sz w:val="20"/>
          <w:szCs w:val="20"/>
        </w:rPr>
        <w:t>Great Britain as a Mediterranean Power</w:t>
      </w:r>
      <w:r w:rsidR="00A570D0">
        <w:rPr>
          <w:rFonts w:cs="Arial"/>
          <w:color w:val="212121"/>
          <w:sz w:val="20"/>
          <w:szCs w:val="20"/>
        </w:rPr>
        <w:t xml:space="preserve"> </w:t>
      </w:r>
      <w:r w:rsidR="007C15BF" w:rsidRPr="007C15BF">
        <w:rPr>
          <w:rFonts w:cs="Arial"/>
          <w:color w:val="212121"/>
          <w:sz w:val="20"/>
          <w:szCs w:val="20"/>
        </w:rPr>
        <w:t>(</w:t>
      </w:r>
      <w:r w:rsidRPr="007C15BF">
        <w:rPr>
          <w:rFonts w:cs="Arial"/>
          <w:color w:val="212121"/>
          <w:sz w:val="20"/>
          <w:szCs w:val="20"/>
        </w:rPr>
        <w:t>Nottingham, 1937</w:t>
      </w:r>
      <w:r w:rsidR="007C15BF" w:rsidRPr="007C15BF">
        <w:rPr>
          <w:rFonts w:cs="Arial"/>
          <w:color w:val="212121"/>
          <w:sz w:val="20"/>
          <w:szCs w:val="20"/>
        </w:rPr>
        <w:t>)  CW</w:t>
      </w:r>
    </w:p>
    <w:p w:rsidR="00E839BE" w:rsidRPr="007C15BF" w:rsidRDefault="00E839BE" w:rsidP="00292ECE">
      <w:pPr>
        <w:widowControl w:val="0"/>
        <w:autoSpaceDE w:val="0"/>
        <w:autoSpaceDN w:val="0"/>
        <w:adjustRightInd w:val="0"/>
        <w:rPr>
          <w:sz w:val="20"/>
          <w:szCs w:val="20"/>
        </w:rPr>
      </w:pPr>
    </w:p>
    <w:p w:rsidR="00B70B47" w:rsidRPr="00D53283" w:rsidRDefault="00A570D0" w:rsidP="00292ECE">
      <w:pPr>
        <w:widowControl w:val="0"/>
        <w:autoSpaceDE w:val="0"/>
        <w:autoSpaceDN w:val="0"/>
        <w:adjustRightInd w:val="0"/>
        <w:rPr>
          <w:b/>
          <w:sz w:val="20"/>
          <w:szCs w:val="20"/>
        </w:rPr>
      </w:pPr>
      <w:r>
        <w:rPr>
          <w:b/>
          <w:sz w:val="20"/>
          <w:szCs w:val="20"/>
        </w:rPr>
        <w:t xml:space="preserve">Nov. 22. </w:t>
      </w:r>
      <w:r w:rsidR="00DF4772" w:rsidRPr="00D53283">
        <w:rPr>
          <w:b/>
          <w:sz w:val="20"/>
          <w:szCs w:val="20"/>
        </w:rPr>
        <w:t>10</w:t>
      </w:r>
      <w:r w:rsidRPr="00A570D0">
        <w:rPr>
          <w:b/>
          <w:sz w:val="20"/>
          <w:szCs w:val="20"/>
        </w:rPr>
        <w:t xml:space="preserve"> </w:t>
      </w:r>
      <w:r>
        <w:rPr>
          <w:b/>
          <w:sz w:val="20"/>
          <w:szCs w:val="20"/>
        </w:rPr>
        <w:t>Governing</w:t>
      </w:r>
      <w:r w:rsidRPr="00D53283">
        <w:rPr>
          <w:b/>
          <w:sz w:val="20"/>
          <w:szCs w:val="20"/>
        </w:rPr>
        <w:t xml:space="preserve"> Empire</w:t>
      </w:r>
    </w:p>
    <w:p w:rsidR="00A570D0" w:rsidRPr="007C15BF" w:rsidRDefault="00A570D0" w:rsidP="00A570D0">
      <w:pPr>
        <w:rPr>
          <w:sz w:val="20"/>
          <w:szCs w:val="20"/>
        </w:rPr>
      </w:pPr>
      <w:r w:rsidRPr="007C15BF">
        <w:rPr>
          <w:sz w:val="20"/>
          <w:szCs w:val="20"/>
        </w:rPr>
        <w:t xml:space="preserve">Susan Pedersen. </w:t>
      </w:r>
      <w:r w:rsidRPr="007C15BF">
        <w:rPr>
          <w:i/>
          <w:sz w:val="20"/>
          <w:szCs w:val="20"/>
        </w:rPr>
        <w:t>The Guardians</w:t>
      </w:r>
      <w:r w:rsidRPr="007C15BF">
        <w:rPr>
          <w:sz w:val="20"/>
          <w:szCs w:val="20"/>
        </w:rPr>
        <w:t xml:space="preserve">  (Oxford, 2016)</w:t>
      </w:r>
    </w:p>
    <w:p w:rsidR="00A570D0" w:rsidRDefault="00A570D0" w:rsidP="00A570D0">
      <w:pPr>
        <w:widowControl w:val="0"/>
        <w:autoSpaceDE w:val="0"/>
        <w:autoSpaceDN w:val="0"/>
        <w:adjustRightInd w:val="0"/>
        <w:rPr>
          <w:rFonts w:cs="Arial"/>
          <w:color w:val="212121"/>
          <w:sz w:val="20"/>
          <w:szCs w:val="20"/>
        </w:rPr>
      </w:pPr>
      <w:r w:rsidRPr="007C15BF">
        <w:rPr>
          <w:rFonts w:cs="Arial"/>
          <w:color w:val="212121"/>
          <w:sz w:val="20"/>
          <w:szCs w:val="20"/>
        </w:rPr>
        <w:t xml:space="preserve">Mustapha Kamal Pasha, ‘The “Bandung Impulse” and International Relations,’ in Sanjay Seth, ed. </w:t>
      </w:r>
      <w:r w:rsidRPr="007C15BF">
        <w:rPr>
          <w:i/>
          <w:color w:val="212121"/>
          <w:sz w:val="20"/>
          <w:szCs w:val="20"/>
        </w:rPr>
        <w:t>Postcolonial Theory and International Relations: A Critical Introduction</w:t>
      </w:r>
      <w:r w:rsidRPr="007C15BF">
        <w:rPr>
          <w:color w:val="212121"/>
          <w:sz w:val="20"/>
          <w:szCs w:val="20"/>
        </w:rPr>
        <w:t xml:space="preserve"> </w:t>
      </w:r>
      <w:r w:rsidRPr="007C15BF">
        <w:rPr>
          <w:rFonts w:cs="Arial"/>
          <w:color w:val="212121"/>
          <w:sz w:val="20"/>
          <w:szCs w:val="20"/>
        </w:rPr>
        <w:t>(Routledge, 2012).</w:t>
      </w:r>
      <w:r w:rsidRPr="007C15BF">
        <w:rPr>
          <w:sz w:val="20"/>
          <w:szCs w:val="20"/>
        </w:rPr>
        <w:t xml:space="preserve"> </w:t>
      </w:r>
      <w:r w:rsidRPr="007C15BF">
        <w:rPr>
          <w:rFonts w:cs="Arial"/>
          <w:color w:val="212121"/>
          <w:sz w:val="20"/>
          <w:szCs w:val="20"/>
        </w:rPr>
        <w:t>pp. 144-165.</w:t>
      </w:r>
    </w:p>
    <w:p w:rsidR="00BA3AC5" w:rsidRDefault="00BA3AC5" w:rsidP="00A570D0">
      <w:pPr>
        <w:widowControl w:val="0"/>
        <w:autoSpaceDE w:val="0"/>
        <w:autoSpaceDN w:val="0"/>
        <w:adjustRightInd w:val="0"/>
        <w:rPr>
          <w:rFonts w:cs="Arial"/>
          <w:color w:val="212121"/>
          <w:sz w:val="20"/>
          <w:szCs w:val="20"/>
        </w:rPr>
      </w:pPr>
    </w:p>
    <w:p w:rsidR="00BA3AC5" w:rsidRPr="00D53283" w:rsidRDefault="00BA3AC5" w:rsidP="00BA3AC5">
      <w:pPr>
        <w:autoSpaceDE w:val="0"/>
        <w:autoSpaceDN w:val="0"/>
        <w:adjustRightInd w:val="0"/>
        <w:rPr>
          <w:rFonts w:cs="Tahoma"/>
          <w:b/>
          <w:sz w:val="20"/>
          <w:szCs w:val="20"/>
        </w:rPr>
      </w:pPr>
      <w:r>
        <w:rPr>
          <w:b/>
          <w:sz w:val="20"/>
          <w:szCs w:val="20"/>
        </w:rPr>
        <w:t xml:space="preserve">Nov. 29. </w:t>
      </w:r>
      <w:r w:rsidRPr="00D53283">
        <w:rPr>
          <w:b/>
          <w:sz w:val="20"/>
          <w:szCs w:val="20"/>
        </w:rPr>
        <w:t>11. Migrations</w:t>
      </w:r>
      <w:r w:rsidRPr="00D53283">
        <w:rPr>
          <w:rFonts w:cs="Tahoma"/>
          <w:b/>
          <w:sz w:val="20"/>
          <w:szCs w:val="20"/>
        </w:rPr>
        <w:t>:</w:t>
      </w:r>
    </w:p>
    <w:p w:rsidR="00BA3AC5" w:rsidRPr="007C15BF" w:rsidRDefault="00BA3AC5" w:rsidP="00BA3AC5">
      <w:pPr>
        <w:rPr>
          <w:sz w:val="20"/>
          <w:szCs w:val="20"/>
        </w:rPr>
      </w:pPr>
    </w:p>
    <w:p w:rsidR="00BA3AC5" w:rsidRPr="007C15BF" w:rsidRDefault="00BA3AC5" w:rsidP="00BA3AC5">
      <w:pPr>
        <w:rPr>
          <w:sz w:val="20"/>
          <w:szCs w:val="20"/>
        </w:rPr>
      </w:pPr>
      <w:r w:rsidRPr="007C15BF">
        <w:rPr>
          <w:sz w:val="20"/>
          <w:szCs w:val="20"/>
        </w:rPr>
        <w:t xml:space="preserve">Dirk Hoerder, </w:t>
      </w:r>
      <w:r w:rsidRPr="007C15BF">
        <w:rPr>
          <w:i/>
          <w:sz w:val="20"/>
          <w:szCs w:val="20"/>
        </w:rPr>
        <w:t>Migrations and Belongings 1870-1945</w:t>
      </w:r>
      <w:r w:rsidRPr="007C15BF">
        <w:rPr>
          <w:sz w:val="20"/>
          <w:szCs w:val="20"/>
        </w:rPr>
        <w:t xml:space="preserve"> (Harvard, 2014) #*</w:t>
      </w:r>
    </w:p>
    <w:p w:rsidR="00BA3AC5" w:rsidRPr="007C15BF" w:rsidRDefault="00BA3AC5" w:rsidP="00BA3AC5">
      <w:pPr>
        <w:rPr>
          <w:sz w:val="20"/>
          <w:szCs w:val="20"/>
        </w:rPr>
      </w:pPr>
      <w:r w:rsidRPr="007C15BF">
        <w:rPr>
          <w:sz w:val="20"/>
          <w:szCs w:val="20"/>
        </w:rPr>
        <w:t xml:space="preserve">Mae Ngai, </w:t>
      </w:r>
      <w:r w:rsidRPr="007C15BF">
        <w:rPr>
          <w:rFonts w:cs="Verdana"/>
          <w:color w:val="262700"/>
          <w:sz w:val="20"/>
          <w:szCs w:val="20"/>
        </w:rPr>
        <w:t xml:space="preserve"> “Chinese Gold Miners and the “Chinese Question” in Nineteenth-Century California and Victoria,” </w:t>
      </w:r>
      <w:r w:rsidRPr="007C15BF">
        <w:rPr>
          <w:rFonts w:cs="Verdana"/>
          <w:i/>
          <w:color w:val="262700"/>
          <w:sz w:val="20"/>
          <w:szCs w:val="20"/>
        </w:rPr>
        <w:t>Journal of American History</w:t>
      </w:r>
      <w:r w:rsidRPr="007C15BF">
        <w:rPr>
          <w:rFonts w:cs="Verdana"/>
          <w:color w:val="262700"/>
          <w:sz w:val="20"/>
          <w:szCs w:val="20"/>
        </w:rPr>
        <w:t xml:space="preserve"> 101 (2015:4): 1082-1105.   CW</w:t>
      </w:r>
    </w:p>
    <w:p w:rsidR="00BA3AC5" w:rsidRPr="007C15BF" w:rsidRDefault="00BA3AC5" w:rsidP="00BA3AC5">
      <w:pPr>
        <w:rPr>
          <w:sz w:val="20"/>
          <w:szCs w:val="20"/>
        </w:rPr>
      </w:pPr>
    </w:p>
    <w:p w:rsidR="00A570D0" w:rsidRPr="00D53283" w:rsidRDefault="00BA3AC5" w:rsidP="00A570D0">
      <w:pPr>
        <w:widowControl w:val="0"/>
        <w:autoSpaceDE w:val="0"/>
        <w:autoSpaceDN w:val="0"/>
        <w:adjustRightInd w:val="0"/>
        <w:rPr>
          <w:b/>
          <w:sz w:val="20"/>
          <w:szCs w:val="20"/>
        </w:rPr>
      </w:pPr>
      <w:r>
        <w:rPr>
          <w:b/>
          <w:sz w:val="20"/>
          <w:szCs w:val="20"/>
        </w:rPr>
        <w:t xml:space="preserve">Dec. 06. </w:t>
      </w:r>
      <w:r w:rsidR="00A570D0" w:rsidRPr="00D53283">
        <w:rPr>
          <w:b/>
          <w:sz w:val="20"/>
          <w:szCs w:val="20"/>
        </w:rPr>
        <w:t>12.   Human Rights and Humanitarianism</w:t>
      </w:r>
    </w:p>
    <w:p w:rsidR="0051277A" w:rsidRPr="007C15BF" w:rsidRDefault="0051277A" w:rsidP="0087121C">
      <w:pPr>
        <w:widowControl w:val="0"/>
        <w:autoSpaceDE w:val="0"/>
        <w:autoSpaceDN w:val="0"/>
        <w:adjustRightInd w:val="0"/>
        <w:rPr>
          <w:sz w:val="20"/>
          <w:szCs w:val="20"/>
        </w:rPr>
      </w:pPr>
    </w:p>
    <w:p w:rsidR="00A570D0" w:rsidRPr="007C15BF" w:rsidRDefault="00A570D0" w:rsidP="00A570D0">
      <w:pPr>
        <w:rPr>
          <w:sz w:val="20"/>
          <w:szCs w:val="20"/>
        </w:rPr>
      </w:pPr>
      <w:r w:rsidRPr="007C15BF">
        <w:rPr>
          <w:sz w:val="20"/>
          <w:szCs w:val="20"/>
        </w:rPr>
        <w:t xml:space="preserve">Samuel Moyn, </w:t>
      </w:r>
      <w:r w:rsidRPr="007C15BF">
        <w:rPr>
          <w:i/>
          <w:sz w:val="20"/>
          <w:szCs w:val="20"/>
        </w:rPr>
        <w:t xml:space="preserve">The Last Utopia: Human Rights in History </w:t>
      </w:r>
      <w:r w:rsidRPr="007C15BF">
        <w:rPr>
          <w:sz w:val="20"/>
          <w:szCs w:val="20"/>
        </w:rPr>
        <w:t xml:space="preserve"> (Harvard, 2010) *#</w:t>
      </w:r>
    </w:p>
    <w:p w:rsidR="00A570D0" w:rsidRPr="007C15BF" w:rsidRDefault="00A570D0" w:rsidP="00A570D0">
      <w:pPr>
        <w:rPr>
          <w:sz w:val="20"/>
          <w:szCs w:val="20"/>
        </w:rPr>
      </w:pPr>
      <w:r w:rsidRPr="007C15BF">
        <w:rPr>
          <w:sz w:val="20"/>
          <w:szCs w:val="20"/>
        </w:rPr>
        <w:t xml:space="preserve">Lila Abu-Lughod, “Do Muslim Women Really Need Saving? Anthropological Reflections on Cultural Relativism and Its Others,” </w:t>
      </w:r>
      <w:r w:rsidRPr="007C15BF">
        <w:rPr>
          <w:i/>
          <w:sz w:val="20"/>
          <w:szCs w:val="20"/>
        </w:rPr>
        <w:t>American Anthropologist</w:t>
      </w:r>
      <w:r w:rsidR="008C7F9C">
        <w:rPr>
          <w:sz w:val="20"/>
          <w:szCs w:val="20"/>
        </w:rPr>
        <w:t xml:space="preserve"> 104:</w:t>
      </w:r>
      <w:r w:rsidRPr="007C15BF">
        <w:rPr>
          <w:sz w:val="20"/>
          <w:szCs w:val="20"/>
        </w:rPr>
        <w:t xml:space="preserve"> 3 (Sep., 2002), </w:t>
      </w:r>
      <w:r w:rsidR="008C7F9C">
        <w:rPr>
          <w:sz w:val="20"/>
          <w:szCs w:val="20"/>
        </w:rPr>
        <w:t xml:space="preserve"> </w:t>
      </w:r>
      <w:r w:rsidRPr="007C15BF">
        <w:rPr>
          <w:sz w:val="20"/>
          <w:szCs w:val="20"/>
        </w:rPr>
        <w:t>783-790   CW</w:t>
      </w:r>
    </w:p>
    <w:p w:rsidR="00A570D0" w:rsidRDefault="00A570D0" w:rsidP="00A570D0"/>
    <w:p w:rsidR="00E737AB" w:rsidRPr="007C15BF" w:rsidRDefault="00E737AB" w:rsidP="00292ECE">
      <w:pPr>
        <w:rPr>
          <w:sz w:val="20"/>
          <w:szCs w:val="20"/>
        </w:rPr>
      </w:pPr>
    </w:p>
    <w:p w:rsidR="00E737AB" w:rsidRPr="007C15BF" w:rsidRDefault="00E737AB" w:rsidP="00292ECE">
      <w:pPr>
        <w:widowControl w:val="0"/>
        <w:autoSpaceDE w:val="0"/>
        <w:autoSpaceDN w:val="0"/>
        <w:adjustRightInd w:val="0"/>
        <w:rPr>
          <w:sz w:val="20"/>
          <w:szCs w:val="20"/>
        </w:rPr>
      </w:pPr>
    </w:p>
    <w:p w:rsidR="00A570D0" w:rsidRDefault="00A570D0"/>
    <w:sectPr w:rsidR="00A570D0" w:rsidSect="006E0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62E"/>
    <w:multiLevelType w:val="hybridMultilevel"/>
    <w:tmpl w:val="A59265C6"/>
    <w:lvl w:ilvl="0" w:tplc="4A7E576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9701B"/>
    <w:multiLevelType w:val="hybridMultilevel"/>
    <w:tmpl w:val="A472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D6BAC"/>
    <w:multiLevelType w:val="hybridMultilevel"/>
    <w:tmpl w:val="726893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3704A"/>
    <w:multiLevelType w:val="hybridMultilevel"/>
    <w:tmpl w:val="01D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7BF3"/>
    <w:multiLevelType w:val="hybridMultilevel"/>
    <w:tmpl w:val="A17A3716"/>
    <w:lvl w:ilvl="0" w:tplc="41F83BEE">
      <w:start w:val="1"/>
      <w:numFmt w:val="decimal"/>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149F0"/>
    <w:multiLevelType w:val="hybridMultilevel"/>
    <w:tmpl w:val="A1E2F9C2"/>
    <w:lvl w:ilvl="0" w:tplc="17A8D27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70CEF"/>
    <w:multiLevelType w:val="hybridMultilevel"/>
    <w:tmpl w:val="85FA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12E03"/>
    <w:multiLevelType w:val="hybridMultilevel"/>
    <w:tmpl w:val="A59265C6"/>
    <w:lvl w:ilvl="0" w:tplc="4A7E5762">
      <w:start w:val="1"/>
      <w:numFmt w:val="decimal"/>
      <w:lvlText w:val="%1."/>
      <w:lvlJc w:val="left"/>
      <w:pPr>
        <w:ind w:left="63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44"/>
    <w:rsid w:val="00022537"/>
    <w:rsid w:val="000373DF"/>
    <w:rsid w:val="000603C4"/>
    <w:rsid w:val="000B1BEB"/>
    <w:rsid w:val="000C1A44"/>
    <w:rsid w:val="000C38A0"/>
    <w:rsid w:val="000C6297"/>
    <w:rsid w:val="000C7746"/>
    <w:rsid w:val="001347B6"/>
    <w:rsid w:val="0016509C"/>
    <w:rsid w:val="001C571E"/>
    <w:rsid w:val="001D69D7"/>
    <w:rsid w:val="00277E6F"/>
    <w:rsid w:val="00292ECE"/>
    <w:rsid w:val="0029499A"/>
    <w:rsid w:val="002A1544"/>
    <w:rsid w:val="002C1777"/>
    <w:rsid w:val="00326A63"/>
    <w:rsid w:val="00362761"/>
    <w:rsid w:val="00366230"/>
    <w:rsid w:val="00393A49"/>
    <w:rsid w:val="00397993"/>
    <w:rsid w:val="003B6806"/>
    <w:rsid w:val="003F1C4A"/>
    <w:rsid w:val="003F5B69"/>
    <w:rsid w:val="003F755F"/>
    <w:rsid w:val="004055F6"/>
    <w:rsid w:val="0045374B"/>
    <w:rsid w:val="0046435B"/>
    <w:rsid w:val="004734B7"/>
    <w:rsid w:val="00477B18"/>
    <w:rsid w:val="00477CE5"/>
    <w:rsid w:val="004A7A02"/>
    <w:rsid w:val="004C448A"/>
    <w:rsid w:val="0051042C"/>
    <w:rsid w:val="0051277A"/>
    <w:rsid w:val="00532033"/>
    <w:rsid w:val="0053256E"/>
    <w:rsid w:val="005420E5"/>
    <w:rsid w:val="00567608"/>
    <w:rsid w:val="005749F6"/>
    <w:rsid w:val="00590F8E"/>
    <w:rsid w:val="005E0141"/>
    <w:rsid w:val="00634882"/>
    <w:rsid w:val="00670F2B"/>
    <w:rsid w:val="00680939"/>
    <w:rsid w:val="006878B8"/>
    <w:rsid w:val="00687961"/>
    <w:rsid w:val="00695BB7"/>
    <w:rsid w:val="006B4139"/>
    <w:rsid w:val="006C35C0"/>
    <w:rsid w:val="006E0D18"/>
    <w:rsid w:val="00704747"/>
    <w:rsid w:val="00751119"/>
    <w:rsid w:val="007567E1"/>
    <w:rsid w:val="007C15BF"/>
    <w:rsid w:val="007D2C95"/>
    <w:rsid w:val="007D6D30"/>
    <w:rsid w:val="00816399"/>
    <w:rsid w:val="0087121C"/>
    <w:rsid w:val="008B6F82"/>
    <w:rsid w:val="008C7F9C"/>
    <w:rsid w:val="009622A5"/>
    <w:rsid w:val="009F6F32"/>
    <w:rsid w:val="009F78F3"/>
    <w:rsid w:val="00A2646E"/>
    <w:rsid w:val="00A50DA1"/>
    <w:rsid w:val="00A570D0"/>
    <w:rsid w:val="00A75506"/>
    <w:rsid w:val="00AA127D"/>
    <w:rsid w:val="00B70B47"/>
    <w:rsid w:val="00BA3AC5"/>
    <w:rsid w:val="00BE0072"/>
    <w:rsid w:val="00C2430B"/>
    <w:rsid w:val="00C527D0"/>
    <w:rsid w:val="00C604CB"/>
    <w:rsid w:val="00CC4FCF"/>
    <w:rsid w:val="00D4344B"/>
    <w:rsid w:val="00D53283"/>
    <w:rsid w:val="00D86F52"/>
    <w:rsid w:val="00D9710C"/>
    <w:rsid w:val="00DD0EED"/>
    <w:rsid w:val="00DF4772"/>
    <w:rsid w:val="00E544B2"/>
    <w:rsid w:val="00E737AB"/>
    <w:rsid w:val="00E839BE"/>
    <w:rsid w:val="00F1323A"/>
    <w:rsid w:val="00FC5E23"/>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2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F6F32"/>
    <w:pPr>
      <w:ind w:left="720"/>
      <w:contextualSpacing/>
    </w:pPr>
  </w:style>
  <w:style w:type="character" w:styleId="Hyperlink">
    <w:name w:val="Hyperlink"/>
    <w:basedOn w:val="DefaultParagraphFont"/>
    <w:uiPriority w:val="99"/>
    <w:unhideWhenUsed/>
    <w:rsid w:val="002C1777"/>
    <w:rPr>
      <w:color w:val="0000FF" w:themeColor="hyperlink"/>
      <w:u w:val="single"/>
    </w:rPr>
  </w:style>
  <w:style w:type="paragraph" w:styleId="BalloonText">
    <w:name w:val="Balloon Text"/>
    <w:basedOn w:val="Normal"/>
    <w:link w:val="BalloonTextChar"/>
    <w:uiPriority w:val="99"/>
    <w:semiHidden/>
    <w:unhideWhenUsed/>
    <w:rsid w:val="00871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2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2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F6F32"/>
    <w:pPr>
      <w:ind w:left="720"/>
      <w:contextualSpacing/>
    </w:pPr>
  </w:style>
  <w:style w:type="character" w:styleId="Hyperlink">
    <w:name w:val="Hyperlink"/>
    <w:basedOn w:val="DefaultParagraphFont"/>
    <w:uiPriority w:val="99"/>
    <w:unhideWhenUsed/>
    <w:rsid w:val="002C1777"/>
    <w:rPr>
      <w:color w:val="0000FF" w:themeColor="hyperlink"/>
      <w:u w:val="single"/>
    </w:rPr>
  </w:style>
  <w:style w:type="paragraph" w:styleId="BalloonText">
    <w:name w:val="Balloon Text"/>
    <w:basedOn w:val="Normal"/>
    <w:link w:val="BalloonTextChar"/>
    <w:uiPriority w:val="99"/>
    <w:semiHidden/>
    <w:unhideWhenUsed/>
    <w:rsid w:val="00871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2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8622">
      <w:bodyDiv w:val="1"/>
      <w:marLeft w:val="0"/>
      <w:marRight w:val="0"/>
      <w:marTop w:val="0"/>
      <w:marBottom w:val="0"/>
      <w:divBdr>
        <w:top w:val="none" w:sz="0" w:space="0" w:color="auto"/>
        <w:left w:val="none" w:sz="0" w:space="0" w:color="auto"/>
        <w:bottom w:val="none" w:sz="0" w:space="0" w:color="auto"/>
        <w:right w:val="none" w:sz="0" w:space="0" w:color="auto"/>
      </w:divBdr>
      <w:divsChild>
        <w:div w:id="1750495147">
          <w:marLeft w:val="0"/>
          <w:marRight w:val="0"/>
          <w:marTop w:val="0"/>
          <w:marBottom w:val="0"/>
          <w:divBdr>
            <w:top w:val="none" w:sz="0" w:space="0" w:color="auto"/>
            <w:left w:val="none" w:sz="0" w:space="0" w:color="auto"/>
            <w:bottom w:val="none" w:sz="0" w:space="0" w:color="auto"/>
            <w:right w:val="none" w:sz="0" w:space="0" w:color="auto"/>
          </w:divBdr>
          <w:divsChild>
            <w:div w:id="377438505">
              <w:marLeft w:val="0"/>
              <w:marRight w:val="0"/>
              <w:marTop w:val="0"/>
              <w:marBottom w:val="0"/>
              <w:divBdr>
                <w:top w:val="none" w:sz="0" w:space="0" w:color="auto"/>
                <w:left w:val="none" w:sz="0" w:space="0" w:color="auto"/>
                <w:bottom w:val="none" w:sz="0" w:space="0" w:color="auto"/>
                <w:right w:val="none" w:sz="0" w:space="0" w:color="auto"/>
              </w:divBdr>
              <w:divsChild>
                <w:div w:id="10937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066">
      <w:bodyDiv w:val="1"/>
      <w:marLeft w:val="0"/>
      <w:marRight w:val="0"/>
      <w:marTop w:val="0"/>
      <w:marBottom w:val="0"/>
      <w:divBdr>
        <w:top w:val="none" w:sz="0" w:space="0" w:color="auto"/>
        <w:left w:val="none" w:sz="0" w:space="0" w:color="auto"/>
        <w:bottom w:val="none" w:sz="0" w:space="0" w:color="auto"/>
        <w:right w:val="none" w:sz="0" w:space="0" w:color="auto"/>
      </w:divBdr>
      <w:divsChild>
        <w:div w:id="2041733600">
          <w:marLeft w:val="0"/>
          <w:marRight w:val="0"/>
          <w:marTop w:val="0"/>
          <w:marBottom w:val="0"/>
          <w:divBdr>
            <w:top w:val="none" w:sz="0" w:space="0" w:color="auto"/>
            <w:left w:val="none" w:sz="0" w:space="0" w:color="auto"/>
            <w:bottom w:val="none" w:sz="0" w:space="0" w:color="auto"/>
            <w:right w:val="none" w:sz="0" w:space="0" w:color="auto"/>
          </w:divBdr>
          <w:divsChild>
            <w:div w:id="309792958">
              <w:marLeft w:val="0"/>
              <w:marRight w:val="0"/>
              <w:marTop w:val="0"/>
              <w:marBottom w:val="0"/>
              <w:divBdr>
                <w:top w:val="none" w:sz="0" w:space="0" w:color="auto"/>
                <w:left w:val="none" w:sz="0" w:space="0" w:color="auto"/>
                <w:bottom w:val="none" w:sz="0" w:space="0" w:color="auto"/>
                <w:right w:val="none" w:sz="0" w:space="0" w:color="auto"/>
              </w:divBdr>
              <w:divsChild>
                <w:div w:id="2079863642">
                  <w:marLeft w:val="0"/>
                  <w:marRight w:val="0"/>
                  <w:marTop w:val="0"/>
                  <w:marBottom w:val="0"/>
                  <w:divBdr>
                    <w:top w:val="none" w:sz="0" w:space="0" w:color="auto"/>
                    <w:left w:val="none" w:sz="0" w:space="0" w:color="auto"/>
                    <w:bottom w:val="none" w:sz="0" w:space="0" w:color="auto"/>
                    <w:right w:val="none" w:sz="0" w:space="0" w:color="auto"/>
                  </w:divBdr>
                </w:div>
              </w:divsChild>
            </w:div>
            <w:div w:id="381364897">
              <w:marLeft w:val="0"/>
              <w:marRight w:val="0"/>
              <w:marTop w:val="0"/>
              <w:marBottom w:val="0"/>
              <w:divBdr>
                <w:top w:val="none" w:sz="0" w:space="0" w:color="auto"/>
                <w:left w:val="none" w:sz="0" w:space="0" w:color="auto"/>
                <w:bottom w:val="none" w:sz="0" w:space="0" w:color="auto"/>
                <w:right w:val="none" w:sz="0" w:space="0" w:color="auto"/>
              </w:divBdr>
              <w:divsChild>
                <w:div w:id="1280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cademia.edu/10035574/CLASSICAL_TEXTS_OF_THE_GEOPOLITICS_AND_THE_HEART_OF_EURASIA_Jeopoliti%C4%9Fin_Klasik_Metinleri_ve_Avrasya_n%C4%B1n_Kalb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1383</Words>
  <Characters>7886</Characters>
  <Application>Microsoft Macintosh Word</Application>
  <DocSecurity>0</DocSecurity>
  <Lines>65</Lines>
  <Paragraphs>18</Paragraphs>
  <ScaleCrop>false</ScaleCrop>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Grazia</dc:creator>
  <cp:keywords/>
  <dc:description/>
  <cp:lastModifiedBy>Victoria de Grazia</cp:lastModifiedBy>
  <cp:revision>2</cp:revision>
  <dcterms:created xsi:type="dcterms:W3CDTF">2016-08-31T00:47:00Z</dcterms:created>
  <dcterms:modified xsi:type="dcterms:W3CDTF">2016-08-31T00:47:00Z</dcterms:modified>
</cp:coreProperties>
</file>